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6B" w:rsidRPr="00AA0F39" w:rsidRDefault="006F466B" w:rsidP="006F466B">
      <w:pPr>
        <w:pStyle w:val="PlainText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AA0F39">
        <w:rPr>
          <w:rFonts w:ascii="Calibri" w:hAnsi="Calibri" w:cs="Calibri"/>
          <w:b/>
          <w:sz w:val="28"/>
          <w:szCs w:val="28"/>
        </w:rPr>
        <w:t>TECBAR</w:t>
      </w:r>
    </w:p>
    <w:p w:rsidR="006F466B" w:rsidRPr="00E8140D" w:rsidRDefault="006F466B" w:rsidP="006F466B">
      <w:pPr>
        <w:pStyle w:val="PlainText"/>
        <w:jc w:val="center"/>
        <w:rPr>
          <w:rFonts w:ascii="Calibri" w:hAnsi="Calibri" w:cs="Calibri"/>
          <w:b/>
          <w:sz w:val="22"/>
          <w:szCs w:val="22"/>
        </w:rPr>
      </w:pPr>
      <w:r w:rsidRPr="00E8140D">
        <w:rPr>
          <w:rFonts w:ascii="Calibri" w:hAnsi="Calibri" w:cs="Calibri"/>
          <w:b/>
          <w:sz w:val="22"/>
          <w:szCs w:val="22"/>
        </w:rPr>
        <w:t xml:space="preserve">ANNEX </w:t>
      </w:r>
      <w:r>
        <w:rPr>
          <w:rFonts w:ascii="Calibri" w:hAnsi="Calibri" w:cs="Calibri"/>
          <w:b/>
          <w:sz w:val="22"/>
          <w:szCs w:val="22"/>
        </w:rPr>
        <w:t>2</w:t>
      </w:r>
      <w:r w:rsidRPr="00E8140D">
        <w:rPr>
          <w:rFonts w:ascii="Calibri" w:hAnsi="Calibri" w:cs="Calibri"/>
          <w:b/>
          <w:sz w:val="22"/>
          <w:szCs w:val="22"/>
        </w:rPr>
        <w:t xml:space="preserve"> TO EQUALITY &amp; DIVERSITY POLICY</w:t>
      </w:r>
    </w:p>
    <w:p w:rsidR="006F466B" w:rsidRPr="00E8140D" w:rsidRDefault="006F466B" w:rsidP="006F466B">
      <w:pPr>
        <w:pStyle w:val="PlainText"/>
        <w:jc w:val="center"/>
        <w:rPr>
          <w:rFonts w:ascii="Calibri" w:hAnsi="Calibri" w:cs="Calibri"/>
          <w:b/>
          <w:sz w:val="22"/>
          <w:szCs w:val="22"/>
        </w:rPr>
      </w:pPr>
    </w:p>
    <w:p w:rsidR="006F466B" w:rsidRPr="00E8140D" w:rsidRDefault="006F466B" w:rsidP="006F466B">
      <w:pPr>
        <w:pStyle w:val="PlainText"/>
        <w:jc w:val="center"/>
        <w:rPr>
          <w:rFonts w:ascii="Calibri" w:hAnsi="Calibri" w:cs="Calibri"/>
          <w:b/>
          <w:sz w:val="22"/>
          <w:szCs w:val="22"/>
        </w:rPr>
      </w:pPr>
      <w:r w:rsidRPr="00E8140D">
        <w:rPr>
          <w:rFonts w:ascii="Calibri" w:hAnsi="Calibri" w:cs="Calibri"/>
          <w:b/>
          <w:sz w:val="22"/>
          <w:szCs w:val="22"/>
        </w:rPr>
        <w:t>Harassment Policy</w:t>
      </w:r>
    </w:p>
    <w:p w:rsidR="006F466B" w:rsidRPr="00E8140D" w:rsidRDefault="006F466B" w:rsidP="006F466B">
      <w:pPr>
        <w:pStyle w:val="PlainText"/>
        <w:jc w:val="center"/>
        <w:rPr>
          <w:rFonts w:ascii="Calibri" w:hAnsi="Calibri" w:cs="Calibri"/>
          <w:b/>
          <w:sz w:val="22"/>
          <w:szCs w:val="22"/>
        </w:rPr>
      </w:pPr>
    </w:p>
    <w:p w:rsidR="006F466B" w:rsidRDefault="006F466B" w:rsidP="006F466B">
      <w:pPr>
        <w:pStyle w:val="ListParagraph"/>
        <w:keepLines w:val="0"/>
        <w:numPr>
          <w:ilvl w:val="0"/>
          <w:numId w:val="1"/>
        </w:numPr>
        <w:ind w:left="709" w:hanging="70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This is the TECBAR H</w:t>
      </w:r>
      <w:r w:rsidRPr="00E8140D">
        <w:rPr>
          <w:rFonts w:ascii="Calibri" w:hAnsi="Calibri" w:cs="Calibri"/>
          <w:szCs w:val="22"/>
        </w:rPr>
        <w:t xml:space="preserve">arassment </w:t>
      </w:r>
      <w:r>
        <w:rPr>
          <w:rFonts w:ascii="Calibri" w:hAnsi="Calibri" w:cs="Calibri"/>
          <w:szCs w:val="22"/>
        </w:rPr>
        <w:t>P</w:t>
      </w:r>
      <w:r w:rsidRPr="00E8140D">
        <w:rPr>
          <w:rFonts w:ascii="Calibri" w:hAnsi="Calibri" w:cs="Calibri"/>
          <w:szCs w:val="22"/>
        </w:rPr>
        <w:t>olicy</w:t>
      </w:r>
      <w:r>
        <w:rPr>
          <w:rFonts w:ascii="Calibri" w:hAnsi="Calibri" w:cs="Calibri"/>
          <w:szCs w:val="22"/>
        </w:rPr>
        <w:t xml:space="preserve">, and should be read in conjunction with the TECBAR Equality &amp; Diversity Policy. The definitions and abbreviations used in the E&amp;D Policy are also adopted herein </w:t>
      </w:r>
    </w:p>
    <w:p w:rsidR="006F466B" w:rsidRPr="00E8140D" w:rsidRDefault="006F466B" w:rsidP="006F466B">
      <w:pPr>
        <w:keepLines/>
        <w:tabs>
          <w:tab w:val="left" w:pos="426"/>
        </w:tabs>
        <w:ind w:left="426"/>
        <w:rPr>
          <w:rFonts w:ascii="Calibri" w:hAnsi="Calibri" w:cs="Calibri"/>
          <w:sz w:val="22"/>
          <w:szCs w:val="22"/>
        </w:rPr>
      </w:pPr>
    </w:p>
    <w:p w:rsidR="006F466B" w:rsidRPr="00E8140D" w:rsidRDefault="006F466B" w:rsidP="006F466B">
      <w:pPr>
        <w:pStyle w:val="ListParagraph"/>
        <w:keepLines w:val="0"/>
        <w:numPr>
          <w:ilvl w:val="0"/>
          <w:numId w:val="1"/>
        </w:numPr>
        <w:ind w:left="709" w:hanging="70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TECBAR </w:t>
      </w:r>
      <w:r w:rsidRPr="00E8140D">
        <w:rPr>
          <w:rFonts w:ascii="Calibri" w:hAnsi="Calibri" w:cs="Calibri"/>
          <w:szCs w:val="22"/>
        </w:rPr>
        <w:t>is committed to providing a</w:t>
      </w:r>
      <w:r>
        <w:rPr>
          <w:rFonts w:ascii="Calibri" w:hAnsi="Calibri" w:cs="Calibri"/>
          <w:szCs w:val="22"/>
        </w:rPr>
        <w:t>n</w:t>
      </w:r>
      <w:r w:rsidRPr="00E8140D">
        <w:rPr>
          <w:rFonts w:ascii="Calibri" w:hAnsi="Calibri" w:cs="Calibri"/>
          <w:szCs w:val="22"/>
        </w:rPr>
        <w:t xml:space="preserve"> environment in which all </w:t>
      </w:r>
      <w:r>
        <w:rPr>
          <w:rFonts w:ascii="Calibri" w:hAnsi="Calibri" w:cs="Calibri"/>
          <w:szCs w:val="22"/>
        </w:rPr>
        <w:t>members, pupils of TECBAR members, visitors</w:t>
      </w:r>
      <w:r w:rsidRPr="00E8140D">
        <w:rPr>
          <w:rFonts w:ascii="Calibri" w:hAnsi="Calibri" w:cs="Calibri"/>
          <w:szCs w:val="22"/>
        </w:rPr>
        <w:t xml:space="preserve"> and the public are treated with dignity </w:t>
      </w:r>
      <w:r>
        <w:rPr>
          <w:rFonts w:ascii="Calibri" w:hAnsi="Calibri" w:cs="Calibri"/>
          <w:szCs w:val="22"/>
        </w:rPr>
        <w:t>and respect.  TECBAR is determined to promote an</w:t>
      </w:r>
      <w:r w:rsidRPr="00E8140D">
        <w:rPr>
          <w:rFonts w:ascii="Calibri" w:hAnsi="Calibri" w:cs="Calibri"/>
          <w:szCs w:val="22"/>
        </w:rPr>
        <w:t xml:space="preserve"> environment in which everyone is treated equally and with dignity and can flourish.</w:t>
      </w:r>
    </w:p>
    <w:p w:rsidR="006F466B" w:rsidRPr="00E8140D" w:rsidRDefault="006F466B" w:rsidP="006F466B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</w:p>
    <w:p w:rsidR="006F466B" w:rsidRDefault="006F466B" w:rsidP="006F466B">
      <w:pPr>
        <w:pStyle w:val="ListParagraph"/>
        <w:keepLines w:val="0"/>
        <w:numPr>
          <w:ilvl w:val="0"/>
          <w:numId w:val="1"/>
        </w:numPr>
        <w:ind w:left="709" w:hanging="709"/>
        <w:rPr>
          <w:rFonts w:ascii="Calibri" w:hAnsi="Calibri" w:cs="Calibri"/>
          <w:szCs w:val="22"/>
        </w:rPr>
      </w:pPr>
      <w:r w:rsidRPr="00E8140D">
        <w:rPr>
          <w:rFonts w:ascii="Calibri" w:hAnsi="Calibri" w:cs="Calibri"/>
          <w:szCs w:val="22"/>
        </w:rPr>
        <w:tab/>
        <w:t>Harassment in any</w:t>
      </w:r>
      <w:r>
        <w:rPr>
          <w:rFonts w:ascii="Calibri" w:hAnsi="Calibri" w:cs="Calibri"/>
          <w:szCs w:val="22"/>
        </w:rPr>
        <w:t xml:space="preserve"> form will not be tolerated or condoned at TECBAR</w:t>
      </w:r>
      <w:r w:rsidRPr="00E8140D">
        <w:rPr>
          <w:rFonts w:ascii="Calibri" w:hAnsi="Calibri" w:cs="Calibri"/>
          <w:szCs w:val="22"/>
        </w:rPr>
        <w:t>.  Harassment includes any unwanted conduct related to sex, race, disability, gender re-assignment, religion or belief, sexual orientation or age. Such behaviour may take many forms including:</w:t>
      </w:r>
    </w:p>
    <w:p w:rsidR="006F466B" w:rsidRPr="00D84CCE" w:rsidRDefault="006F466B" w:rsidP="006F466B">
      <w:pPr>
        <w:pStyle w:val="ListParagraph"/>
        <w:rPr>
          <w:rFonts w:ascii="Calibri" w:hAnsi="Calibri" w:cs="Calibri"/>
          <w:szCs w:val="22"/>
        </w:rPr>
      </w:pPr>
    </w:p>
    <w:p w:rsidR="006F466B" w:rsidRPr="00E8140D" w:rsidRDefault="006F466B" w:rsidP="006F466B">
      <w:pPr>
        <w:keepLines/>
        <w:numPr>
          <w:ilvl w:val="2"/>
          <w:numId w:val="2"/>
        </w:numPr>
        <w:ind w:left="709" w:firstLine="0"/>
        <w:rPr>
          <w:rFonts w:ascii="Calibri" w:hAnsi="Calibri" w:cs="Calibri"/>
          <w:sz w:val="22"/>
          <w:szCs w:val="22"/>
        </w:rPr>
      </w:pPr>
      <w:r w:rsidRPr="00E8140D">
        <w:rPr>
          <w:rFonts w:ascii="Calibri" w:hAnsi="Calibri" w:cs="Calibri"/>
          <w:sz w:val="22"/>
          <w:szCs w:val="22"/>
        </w:rPr>
        <w:t>conduct which is unwanted by the recipient and perceived as hostile or threatening;</w:t>
      </w:r>
    </w:p>
    <w:p w:rsidR="006F466B" w:rsidRPr="00E8140D" w:rsidRDefault="006F466B" w:rsidP="006F466B">
      <w:pPr>
        <w:keepLines/>
        <w:numPr>
          <w:ilvl w:val="2"/>
          <w:numId w:val="2"/>
        </w:numPr>
        <w:ind w:left="709" w:firstLine="0"/>
        <w:rPr>
          <w:rFonts w:ascii="Calibri" w:hAnsi="Calibri" w:cs="Calibri"/>
          <w:sz w:val="22"/>
          <w:szCs w:val="22"/>
        </w:rPr>
      </w:pPr>
      <w:r w:rsidRPr="00E8140D">
        <w:rPr>
          <w:rFonts w:ascii="Calibri" w:hAnsi="Calibri" w:cs="Calibri"/>
          <w:sz w:val="22"/>
          <w:szCs w:val="22"/>
        </w:rPr>
        <w:t>conduct which gives rise to a hostile or threatening environment;</w:t>
      </w:r>
    </w:p>
    <w:p w:rsidR="006F466B" w:rsidRPr="00E8140D" w:rsidRDefault="006F466B" w:rsidP="006F466B">
      <w:pPr>
        <w:keepLines/>
        <w:numPr>
          <w:ilvl w:val="2"/>
          <w:numId w:val="2"/>
        </w:numPr>
        <w:ind w:left="1418" w:hanging="709"/>
        <w:rPr>
          <w:rFonts w:ascii="Calibri" w:hAnsi="Calibri" w:cs="Calibri"/>
          <w:sz w:val="22"/>
          <w:szCs w:val="22"/>
        </w:rPr>
      </w:pPr>
      <w:r w:rsidRPr="00E8140D">
        <w:rPr>
          <w:rFonts w:ascii="Calibri" w:hAnsi="Calibri" w:cs="Calibri"/>
          <w:sz w:val="22"/>
          <w:szCs w:val="22"/>
        </w:rPr>
        <w:t xml:space="preserve">conduct which creates an atmosphere in which it is feared that rejection or submission will be used as a basis for decisions which have an impact on the recipient such as </w:t>
      </w:r>
      <w:r>
        <w:rPr>
          <w:rFonts w:ascii="Calibri" w:hAnsi="Calibri" w:cs="Calibri"/>
          <w:sz w:val="22"/>
          <w:szCs w:val="22"/>
        </w:rPr>
        <w:t>review of an application for membership or training or accreditation</w:t>
      </w:r>
      <w:r w:rsidRPr="00E8140D">
        <w:rPr>
          <w:rFonts w:ascii="Calibri" w:hAnsi="Calibri" w:cs="Calibri"/>
          <w:sz w:val="22"/>
          <w:szCs w:val="22"/>
        </w:rPr>
        <w:t>.</w:t>
      </w:r>
    </w:p>
    <w:p w:rsidR="006F466B" w:rsidRPr="00E8140D" w:rsidRDefault="006F466B" w:rsidP="006F466B">
      <w:pPr>
        <w:rPr>
          <w:rFonts w:ascii="Calibri" w:hAnsi="Calibri" w:cs="Calibri"/>
          <w:sz w:val="22"/>
          <w:szCs w:val="22"/>
        </w:rPr>
      </w:pPr>
    </w:p>
    <w:p w:rsidR="006F466B" w:rsidRDefault="006F466B" w:rsidP="006F466B">
      <w:pPr>
        <w:pStyle w:val="ListParagraph"/>
        <w:keepLines w:val="0"/>
        <w:numPr>
          <w:ilvl w:val="0"/>
          <w:numId w:val="1"/>
        </w:numPr>
        <w:ind w:left="709" w:hanging="709"/>
        <w:rPr>
          <w:rFonts w:ascii="Calibri" w:hAnsi="Calibri" w:cs="Calibri"/>
          <w:szCs w:val="22"/>
        </w:rPr>
      </w:pPr>
      <w:r w:rsidRPr="00E8140D">
        <w:rPr>
          <w:rFonts w:ascii="Calibri" w:hAnsi="Calibri" w:cs="Calibri"/>
          <w:szCs w:val="22"/>
        </w:rPr>
        <w:tab/>
        <w:t>The following are examples of types of behaviour which may amount to harassment:</w:t>
      </w:r>
    </w:p>
    <w:p w:rsidR="006F466B" w:rsidRPr="00E8140D" w:rsidRDefault="006F466B" w:rsidP="006F466B">
      <w:pPr>
        <w:pStyle w:val="ListParagraph"/>
        <w:keepLines w:val="0"/>
        <w:ind w:left="709"/>
        <w:rPr>
          <w:rFonts w:ascii="Calibri" w:hAnsi="Calibri" w:cs="Calibri"/>
          <w:szCs w:val="22"/>
        </w:rPr>
      </w:pPr>
    </w:p>
    <w:p w:rsidR="006F466B" w:rsidRPr="00E8140D" w:rsidRDefault="006F466B" w:rsidP="006F466B">
      <w:pPr>
        <w:keepLines/>
        <w:numPr>
          <w:ilvl w:val="2"/>
          <w:numId w:val="2"/>
        </w:numPr>
        <w:ind w:left="709" w:firstLine="0"/>
        <w:rPr>
          <w:rFonts w:ascii="Calibri" w:hAnsi="Calibri" w:cs="Calibri"/>
          <w:sz w:val="22"/>
          <w:szCs w:val="22"/>
        </w:rPr>
      </w:pPr>
      <w:r w:rsidRPr="00E8140D">
        <w:rPr>
          <w:rFonts w:ascii="Calibri" w:hAnsi="Calibri" w:cs="Calibri"/>
          <w:sz w:val="22"/>
          <w:szCs w:val="22"/>
        </w:rPr>
        <w:t>physical or sexual assault;</w:t>
      </w:r>
    </w:p>
    <w:p w:rsidR="006F466B" w:rsidRPr="00E8140D" w:rsidRDefault="006F466B" w:rsidP="006F466B">
      <w:pPr>
        <w:keepLines/>
        <w:numPr>
          <w:ilvl w:val="2"/>
          <w:numId w:val="2"/>
        </w:numPr>
        <w:ind w:left="709" w:firstLine="0"/>
        <w:rPr>
          <w:rFonts w:ascii="Calibri" w:hAnsi="Calibri" w:cs="Calibri"/>
          <w:sz w:val="22"/>
          <w:szCs w:val="22"/>
        </w:rPr>
      </w:pPr>
      <w:r w:rsidRPr="00E8140D">
        <w:rPr>
          <w:rFonts w:ascii="Calibri" w:hAnsi="Calibri" w:cs="Calibri"/>
          <w:sz w:val="22"/>
          <w:szCs w:val="22"/>
        </w:rPr>
        <w:t>requests for sexual favours in return for career advancement;</w:t>
      </w:r>
    </w:p>
    <w:p w:rsidR="006F466B" w:rsidRPr="00E8140D" w:rsidRDefault="006F466B" w:rsidP="006F466B">
      <w:pPr>
        <w:keepLines/>
        <w:numPr>
          <w:ilvl w:val="2"/>
          <w:numId w:val="2"/>
        </w:numPr>
        <w:ind w:left="709" w:firstLine="0"/>
        <w:rPr>
          <w:rFonts w:ascii="Calibri" w:hAnsi="Calibri" w:cs="Calibri"/>
          <w:sz w:val="22"/>
          <w:szCs w:val="22"/>
        </w:rPr>
      </w:pPr>
      <w:r w:rsidRPr="00E8140D">
        <w:rPr>
          <w:rFonts w:ascii="Calibri" w:hAnsi="Calibri" w:cs="Calibri"/>
          <w:sz w:val="22"/>
          <w:szCs w:val="22"/>
        </w:rPr>
        <w:t>unnecessary physical contact;</w:t>
      </w:r>
    </w:p>
    <w:p w:rsidR="006F466B" w:rsidRPr="00E8140D" w:rsidRDefault="006F466B" w:rsidP="006F466B">
      <w:pPr>
        <w:keepLines/>
        <w:numPr>
          <w:ilvl w:val="2"/>
          <w:numId w:val="2"/>
        </w:numPr>
        <w:ind w:left="709" w:firstLine="0"/>
        <w:rPr>
          <w:rFonts w:ascii="Calibri" w:hAnsi="Calibri" w:cs="Calibri"/>
          <w:sz w:val="22"/>
          <w:szCs w:val="22"/>
        </w:rPr>
      </w:pPr>
      <w:r w:rsidRPr="00E8140D">
        <w:rPr>
          <w:rFonts w:ascii="Calibri" w:hAnsi="Calibri" w:cs="Calibri"/>
          <w:sz w:val="22"/>
          <w:szCs w:val="22"/>
        </w:rPr>
        <w:t>exclusion from social networks and activities or other forms of isolation;</w:t>
      </w:r>
    </w:p>
    <w:p w:rsidR="006F466B" w:rsidRPr="00E8140D" w:rsidRDefault="006F466B" w:rsidP="006F466B">
      <w:pPr>
        <w:keepLines/>
        <w:numPr>
          <w:ilvl w:val="2"/>
          <w:numId w:val="2"/>
        </w:numPr>
        <w:ind w:left="709" w:firstLine="0"/>
        <w:rPr>
          <w:rFonts w:ascii="Calibri" w:hAnsi="Calibri" w:cs="Calibri"/>
          <w:sz w:val="22"/>
          <w:szCs w:val="22"/>
        </w:rPr>
      </w:pPr>
      <w:r w:rsidRPr="00E8140D">
        <w:rPr>
          <w:rFonts w:ascii="Calibri" w:hAnsi="Calibri" w:cs="Calibri"/>
          <w:sz w:val="22"/>
          <w:szCs w:val="22"/>
        </w:rPr>
        <w:t>bullying;</w:t>
      </w:r>
    </w:p>
    <w:p w:rsidR="006F466B" w:rsidRPr="00E8140D" w:rsidRDefault="006F466B" w:rsidP="006F466B">
      <w:pPr>
        <w:keepLines/>
        <w:numPr>
          <w:ilvl w:val="2"/>
          <w:numId w:val="2"/>
        </w:numPr>
        <w:ind w:left="709" w:firstLine="0"/>
        <w:rPr>
          <w:rFonts w:ascii="Calibri" w:hAnsi="Calibri" w:cs="Calibri"/>
          <w:sz w:val="22"/>
          <w:szCs w:val="22"/>
        </w:rPr>
      </w:pPr>
      <w:r w:rsidRPr="00E8140D">
        <w:rPr>
          <w:rFonts w:ascii="Calibri" w:hAnsi="Calibri" w:cs="Calibri"/>
          <w:sz w:val="22"/>
          <w:szCs w:val="22"/>
        </w:rPr>
        <w:t>compromising suggestions or invitations;</w:t>
      </w:r>
    </w:p>
    <w:p w:rsidR="006F466B" w:rsidRPr="00E8140D" w:rsidRDefault="006F466B" w:rsidP="006F466B">
      <w:pPr>
        <w:keepLines/>
        <w:numPr>
          <w:ilvl w:val="2"/>
          <w:numId w:val="2"/>
        </w:numPr>
        <w:ind w:left="709" w:firstLine="0"/>
        <w:rPr>
          <w:rFonts w:ascii="Calibri" w:hAnsi="Calibri" w:cs="Calibri"/>
          <w:sz w:val="22"/>
          <w:szCs w:val="22"/>
        </w:rPr>
      </w:pPr>
      <w:r w:rsidRPr="00E8140D">
        <w:rPr>
          <w:rFonts w:ascii="Calibri" w:hAnsi="Calibri" w:cs="Calibri"/>
          <w:sz w:val="22"/>
          <w:szCs w:val="22"/>
        </w:rPr>
        <w:t>suggestive remarks or looks;</w:t>
      </w:r>
    </w:p>
    <w:p w:rsidR="006F466B" w:rsidRPr="00E8140D" w:rsidRDefault="006F466B" w:rsidP="006F466B">
      <w:pPr>
        <w:keepLines/>
        <w:numPr>
          <w:ilvl w:val="2"/>
          <w:numId w:val="2"/>
        </w:numPr>
        <w:ind w:left="709" w:firstLine="0"/>
        <w:rPr>
          <w:rFonts w:ascii="Calibri" w:hAnsi="Calibri" w:cs="Calibri"/>
          <w:sz w:val="22"/>
          <w:szCs w:val="22"/>
        </w:rPr>
      </w:pPr>
      <w:r w:rsidRPr="00E8140D">
        <w:rPr>
          <w:rFonts w:ascii="Calibri" w:hAnsi="Calibri" w:cs="Calibri"/>
          <w:sz w:val="22"/>
          <w:szCs w:val="22"/>
        </w:rPr>
        <w:t>display of offensive materials, including on a computer screen;</w:t>
      </w:r>
    </w:p>
    <w:p w:rsidR="006F466B" w:rsidRPr="00E8140D" w:rsidRDefault="006F466B" w:rsidP="006F466B">
      <w:pPr>
        <w:keepLines/>
        <w:numPr>
          <w:ilvl w:val="2"/>
          <w:numId w:val="2"/>
        </w:numPr>
        <w:ind w:left="709" w:firstLine="0"/>
        <w:rPr>
          <w:rFonts w:ascii="Calibri" w:hAnsi="Calibri" w:cs="Calibri"/>
          <w:sz w:val="22"/>
          <w:szCs w:val="22"/>
        </w:rPr>
      </w:pPr>
      <w:r w:rsidRPr="00E8140D">
        <w:rPr>
          <w:rFonts w:ascii="Calibri" w:hAnsi="Calibri" w:cs="Calibri"/>
          <w:sz w:val="22"/>
          <w:szCs w:val="22"/>
        </w:rPr>
        <w:t>tasteless jokes or verbal abuse, including any sent by email;</w:t>
      </w:r>
    </w:p>
    <w:p w:rsidR="006F466B" w:rsidRPr="00E8140D" w:rsidRDefault="006F466B" w:rsidP="006F466B">
      <w:pPr>
        <w:keepLines/>
        <w:numPr>
          <w:ilvl w:val="2"/>
          <w:numId w:val="2"/>
        </w:numPr>
        <w:ind w:left="709" w:firstLine="0"/>
        <w:rPr>
          <w:rFonts w:ascii="Calibri" w:hAnsi="Calibri" w:cs="Calibri"/>
          <w:sz w:val="22"/>
          <w:szCs w:val="22"/>
        </w:rPr>
      </w:pPr>
      <w:r w:rsidRPr="00E8140D">
        <w:rPr>
          <w:rFonts w:ascii="Calibri" w:hAnsi="Calibri" w:cs="Calibri"/>
          <w:sz w:val="22"/>
          <w:szCs w:val="22"/>
        </w:rPr>
        <w:t>offensive remarks or ridicule;</w:t>
      </w:r>
    </w:p>
    <w:p w:rsidR="006F466B" w:rsidRPr="00E8140D" w:rsidRDefault="006F466B" w:rsidP="006F466B">
      <w:pPr>
        <w:keepLines/>
        <w:numPr>
          <w:ilvl w:val="2"/>
          <w:numId w:val="2"/>
        </w:numPr>
        <w:ind w:left="709" w:firstLine="0"/>
        <w:rPr>
          <w:rFonts w:ascii="Calibri" w:hAnsi="Calibri" w:cs="Calibri"/>
          <w:sz w:val="22"/>
          <w:szCs w:val="22"/>
        </w:rPr>
      </w:pPr>
      <w:r w:rsidRPr="00E8140D">
        <w:rPr>
          <w:rFonts w:ascii="Calibri" w:hAnsi="Calibri" w:cs="Calibri"/>
          <w:sz w:val="22"/>
          <w:szCs w:val="22"/>
        </w:rPr>
        <w:t>dealing inappropriately or inadequately with complaints of harassment.</w:t>
      </w:r>
    </w:p>
    <w:p w:rsidR="006F466B" w:rsidRPr="00E8140D" w:rsidRDefault="006F466B" w:rsidP="006F466B">
      <w:pPr>
        <w:rPr>
          <w:rFonts w:ascii="Calibri" w:hAnsi="Calibri" w:cs="Calibri"/>
          <w:sz w:val="22"/>
          <w:szCs w:val="22"/>
        </w:rPr>
      </w:pPr>
    </w:p>
    <w:p w:rsidR="006F466B" w:rsidRPr="00E8140D" w:rsidRDefault="006F466B" w:rsidP="006F466B">
      <w:pPr>
        <w:pStyle w:val="ListParagraph"/>
        <w:keepLines w:val="0"/>
        <w:numPr>
          <w:ilvl w:val="0"/>
          <w:numId w:val="1"/>
        </w:numPr>
        <w:ind w:left="709" w:hanging="709"/>
        <w:rPr>
          <w:rFonts w:ascii="Calibri" w:hAnsi="Calibri" w:cs="Calibri"/>
          <w:szCs w:val="22"/>
        </w:rPr>
      </w:pPr>
      <w:r w:rsidRPr="00E8140D">
        <w:rPr>
          <w:rFonts w:ascii="Calibri" w:hAnsi="Calibri" w:cs="Calibri"/>
          <w:szCs w:val="22"/>
        </w:rPr>
        <w:tab/>
        <w:t>Harassment is unlawful under the Equality Act 2010</w:t>
      </w:r>
      <w:r w:rsidRPr="00E8140D">
        <w:rPr>
          <w:rStyle w:val="FootnoteReference"/>
          <w:rFonts w:ascii="Calibri" w:hAnsi="Calibri" w:cs="Calibri"/>
          <w:szCs w:val="22"/>
        </w:rPr>
        <w:footnoteReference w:id="1"/>
      </w:r>
      <w:r w:rsidRPr="00E8140D">
        <w:rPr>
          <w:rFonts w:ascii="Calibri" w:hAnsi="Calibri" w:cs="Calibri"/>
          <w:szCs w:val="22"/>
        </w:rPr>
        <w:t>.  In addition to the above unwanted conduct, it can arise where a person engages in any kind of unwanted sexual behaviour (or gender reassignment or sex related behaviour).</w:t>
      </w:r>
    </w:p>
    <w:p w:rsidR="006F466B" w:rsidRPr="00E8140D" w:rsidRDefault="006F466B" w:rsidP="006F466B">
      <w:pPr>
        <w:rPr>
          <w:rFonts w:ascii="Calibri" w:hAnsi="Calibri" w:cs="Calibri"/>
          <w:sz w:val="22"/>
          <w:szCs w:val="22"/>
        </w:rPr>
      </w:pPr>
    </w:p>
    <w:p w:rsidR="006F466B" w:rsidRPr="00E8140D" w:rsidRDefault="006F466B" w:rsidP="006F466B">
      <w:pPr>
        <w:pStyle w:val="ListParagraph"/>
        <w:keepLines w:val="0"/>
        <w:numPr>
          <w:ilvl w:val="0"/>
          <w:numId w:val="1"/>
        </w:numPr>
        <w:ind w:left="709" w:hanging="709"/>
        <w:rPr>
          <w:rFonts w:ascii="Calibri" w:hAnsi="Calibri" w:cs="Calibri"/>
          <w:szCs w:val="22"/>
        </w:rPr>
      </w:pPr>
      <w:r w:rsidRPr="00E8140D">
        <w:rPr>
          <w:rFonts w:ascii="Calibri" w:hAnsi="Calibri" w:cs="Calibri"/>
          <w:szCs w:val="22"/>
        </w:rPr>
        <w:tab/>
        <w:t xml:space="preserve">Complaints of harassment may be raised informally in the first instance with </w:t>
      </w:r>
      <w:r>
        <w:rPr>
          <w:rFonts w:ascii="Calibri" w:hAnsi="Calibri" w:cs="Calibri"/>
          <w:szCs w:val="22"/>
        </w:rPr>
        <w:t>either of the TECBAR EDOs</w:t>
      </w:r>
      <w:r w:rsidRPr="00E8140D">
        <w:rPr>
          <w:rFonts w:ascii="Calibri" w:hAnsi="Calibri" w:cs="Calibri"/>
          <w:szCs w:val="22"/>
        </w:rPr>
        <w:t xml:space="preserve">, the </w:t>
      </w:r>
      <w:r>
        <w:rPr>
          <w:rFonts w:ascii="Calibri" w:hAnsi="Calibri" w:cs="Calibri"/>
          <w:szCs w:val="22"/>
        </w:rPr>
        <w:t>Chair of TECBAR</w:t>
      </w:r>
      <w:r w:rsidRPr="00E8140D">
        <w:rPr>
          <w:rFonts w:ascii="Calibri" w:hAnsi="Calibri" w:cs="Calibri"/>
          <w:szCs w:val="22"/>
        </w:rPr>
        <w:t xml:space="preserve"> or another member of </w:t>
      </w:r>
      <w:r>
        <w:rPr>
          <w:rFonts w:ascii="Calibri" w:hAnsi="Calibri" w:cs="Calibri"/>
          <w:szCs w:val="22"/>
        </w:rPr>
        <w:t>the TECBAR Committee</w:t>
      </w:r>
      <w:r w:rsidRPr="00E8140D">
        <w:rPr>
          <w:rFonts w:ascii="Calibri" w:hAnsi="Calibri" w:cs="Calibri"/>
          <w:szCs w:val="22"/>
        </w:rPr>
        <w:t xml:space="preserve"> who will agree an appropriate response.  Formal complaints should be made under the </w:t>
      </w:r>
      <w:r>
        <w:rPr>
          <w:rFonts w:ascii="Calibri" w:hAnsi="Calibri" w:cs="Calibri"/>
          <w:szCs w:val="22"/>
        </w:rPr>
        <w:t>TECBAR Complaints Handling P</w:t>
      </w:r>
      <w:r w:rsidRPr="00E8140D">
        <w:rPr>
          <w:rFonts w:ascii="Calibri" w:hAnsi="Calibri" w:cs="Calibri"/>
          <w:szCs w:val="22"/>
        </w:rPr>
        <w:t>rocedure.</w:t>
      </w:r>
    </w:p>
    <w:p w:rsidR="006F466B" w:rsidRPr="00E8140D" w:rsidRDefault="006F466B" w:rsidP="006F466B">
      <w:pPr>
        <w:rPr>
          <w:rFonts w:ascii="Calibri" w:hAnsi="Calibri" w:cs="Calibri"/>
          <w:sz w:val="22"/>
          <w:szCs w:val="22"/>
        </w:rPr>
      </w:pPr>
    </w:p>
    <w:p w:rsidR="006F466B" w:rsidRPr="00E8140D" w:rsidRDefault="006F466B" w:rsidP="006F466B">
      <w:pPr>
        <w:pStyle w:val="ListParagraph"/>
        <w:keepLines w:val="0"/>
        <w:numPr>
          <w:ilvl w:val="0"/>
          <w:numId w:val="1"/>
        </w:numPr>
        <w:ind w:left="709" w:hanging="709"/>
        <w:rPr>
          <w:rFonts w:ascii="Calibri" w:hAnsi="Calibri" w:cs="Calibri"/>
          <w:szCs w:val="22"/>
        </w:rPr>
      </w:pPr>
      <w:r w:rsidRPr="00E8140D">
        <w:rPr>
          <w:rFonts w:ascii="Calibri" w:hAnsi="Calibri" w:cs="Calibri"/>
          <w:szCs w:val="22"/>
        </w:rPr>
        <w:lastRenderedPageBreak/>
        <w:tab/>
        <w:t xml:space="preserve">Harassment is a breach of the Bar Code of Conduct for barristers.  Allegations of harassment will be </w:t>
      </w:r>
      <w:r>
        <w:rPr>
          <w:rFonts w:ascii="Calibri" w:hAnsi="Calibri" w:cs="Calibri"/>
          <w:szCs w:val="22"/>
        </w:rPr>
        <w:t>referred to the Bar Standards Board</w:t>
      </w:r>
      <w:r w:rsidRPr="00E8140D">
        <w:rPr>
          <w:rFonts w:ascii="Calibri" w:hAnsi="Calibri" w:cs="Calibri"/>
          <w:szCs w:val="22"/>
        </w:rPr>
        <w:t>.</w:t>
      </w:r>
    </w:p>
    <w:p w:rsidR="006F466B" w:rsidRPr="00E8140D" w:rsidRDefault="006F466B" w:rsidP="006F466B">
      <w:pPr>
        <w:rPr>
          <w:rFonts w:ascii="Calibri" w:hAnsi="Calibri" w:cs="Calibri"/>
          <w:sz w:val="22"/>
          <w:szCs w:val="22"/>
        </w:rPr>
      </w:pPr>
    </w:p>
    <w:p w:rsidR="006F466B" w:rsidRPr="00E8140D" w:rsidRDefault="006F466B" w:rsidP="006F466B">
      <w:pPr>
        <w:pStyle w:val="ListParagraph"/>
        <w:keepLines w:val="0"/>
        <w:numPr>
          <w:ilvl w:val="0"/>
          <w:numId w:val="1"/>
        </w:numPr>
        <w:ind w:left="709" w:hanging="709"/>
        <w:rPr>
          <w:rFonts w:ascii="Calibri" w:hAnsi="Calibri" w:cs="Calibri"/>
          <w:szCs w:val="22"/>
        </w:rPr>
      </w:pPr>
      <w:r w:rsidRPr="00E8140D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TECBAR</w:t>
      </w:r>
      <w:r w:rsidRPr="00E8140D">
        <w:rPr>
          <w:rFonts w:ascii="Calibri" w:hAnsi="Calibri" w:cs="Calibri"/>
          <w:szCs w:val="22"/>
        </w:rPr>
        <w:t xml:space="preserve"> is committed to ensuring that no-one who makes an allegation of harassment in good faith should be subjected to any detriment as a result.  Any victimisation of a complainant, witness or anyone else involved in the investigation of a complaint will be viewed as a matter</w:t>
      </w:r>
      <w:r>
        <w:rPr>
          <w:rFonts w:ascii="Calibri" w:hAnsi="Calibri" w:cs="Calibri"/>
          <w:szCs w:val="22"/>
        </w:rPr>
        <w:t xml:space="preserve"> for referral to the Bar Standards Board</w:t>
      </w:r>
      <w:r w:rsidRPr="00E8140D">
        <w:rPr>
          <w:rFonts w:ascii="Calibri" w:hAnsi="Calibri" w:cs="Calibri"/>
          <w:szCs w:val="22"/>
        </w:rPr>
        <w:t>.</w:t>
      </w:r>
    </w:p>
    <w:p w:rsidR="006F466B" w:rsidRPr="00E8140D" w:rsidRDefault="006F466B" w:rsidP="006F466B">
      <w:pPr>
        <w:rPr>
          <w:rFonts w:ascii="Calibri" w:hAnsi="Calibri" w:cs="Calibri"/>
          <w:sz w:val="22"/>
          <w:szCs w:val="22"/>
        </w:rPr>
      </w:pPr>
    </w:p>
    <w:p w:rsidR="006F466B" w:rsidRDefault="006F466B" w:rsidP="006F466B">
      <w:pPr>
        <w:pStyle w:val="ListParagraph"/>
        <w:keepLines w:val="0"/>
        <w:numPr>
          <w:ilvl w:val="0"/>
          <w:numId w:val="1"/>
        </w:numPr>
        <w:ind w:left="709" w:hanging="709"/>
        <w:rPr>
          <w:rFonts w:ascii="Calibri" w:hAnsi="Calibri" w:cs="Calibri"/>
          <w:szCs w:val="22"/>
        </w:rPr>
      </w:pPr>
      <w:r w:rsidRPr="00E8140D">
        <w:rPr>
          <w:rFonts w:ascii="Calibri" w:hAnsi="Calibri" w:cs="Calibri"/>
          <w:szCs w:val="22"/>
        </w:rPr>
        <w:tab/>
        <w:t xml:space="preserve">A copy of this policy is </w:t>
      </w:r>
      <w:r>
        <w:rPr>
          <w:rFonts w:ascii="Calibri" w:hAnsi="Calibri" w:cs="Calibri"/>
          <w:szCs w:val="22"/>
        </w:rPr>
        <w:t>available on TECBAR’s website, or upon request to a Committee Member</w:t>
      </w:r>
      <w:r w:rsidRPr="00E8140D">
        <w:rPr>
          <w:rFonts w:ascii="Calibri" w:hAnsi="Calibri" w:cs="Calibri"/>
          <w:szCs w:val="22"/>
        </w:rPr>
        <w:t>.</w:t>
      </w:r>
    </w:p>
    <w:p w:rsidR="006F466B" w:rsidRPr="00E52B89" w:rsidRDefault="006F466B" w:rsidP="006F466B">
      <w:pPr>
        <w:pStyle w:val="ListParagraph"/>
        <w:rPr>
          <w:rFonts w:ascii="Calibri" w:hAnsi="Calibri" w:cs="Calibri"/>
          <w:szCs w:val="22"/>
        </w:rPr>
      </w:pPr>
    </w:p>
    <w:p w:rsidR="006F466B" w:rsidRPr="00E52B89" w:rsidRDefault="006F466B" w:rsidP="006F466B">
      <w:pPr>
        <w:pStyle w:val="ListParagraph"/>
        <w:keepLines w:val="0"/>
        <w:numPr>
          <w:ilvl w:val="0"/>
          <w:numId w:val="1"/>
        </w:numPr>
        <w:ind w:left="709" w:hanging="709"/>
        <w:rPr>
          <w:rFonts w:ascii="Calibri" w:hAnsi="Calibri" w:cs="Calibri"/>
          <w:szCs w:val="22"/>
        </w:rPr>
      </w:pPr>
      <w:r w:rsidRPr="00E52B89">
        <w:rPr>
          <w:rFonts w:ascii="Calibri" w:hAnsi="Calibri" w:cs="Calibri"/>
          <w:szCs w:val="22"/>
        </w:rPr>
        <w:t>This policy was prepared in January 2015 and will be reviewed by January 2017.</w:t>
      </w:r>
    </w:p>
    <w:p w:rsidR="006F466B" w:rsidRDefault="006F466B" w:rsidP="006F466B"/>
    <w:p w:rsidR="007055D3" w:rsidRDefault="007055D3"/>
    <w:sectPr w:rsidR="007055D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6B" w:rsidRDefault="006F466B" w:rsidP="006F466B">
      <w:r>
        <w:separator/>
      </w:r>
    </w:p>
  </w:endnote>
  <w:endnote w:type="continuationSeparator" w:id="0">
    <w:p w:rsidR="006F466B" w:rsidRDefault="006F466B" w:rsidP="006F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FA" w:rsidRDefault="006F466B">
    <w:pPr>
      <w:pStyle w:val="Footer"/>
    </w:pPr>
    <w:r>
      <w:t>January 2015</w:t>
    </w:r>
  </w:p>
  <w:p w:rsidR="00D67FFA" w:rsidRDefault="003A3D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6B" w:rsidRDefault="006F466B" w:rsidP="006F466B">
      <w:r>
        <w:separator/>
      </w:r>
    </w:p>
  </w:footnote>
  <w:footnote w:type="continuationSeparator" w:id="0">
    <w:p w:rsidR="006F466B" w:rsidRDefault="006F466B" w:rsidP="006F466B">
      <w:r>
        <w:continuationSeparator/>
      </w:r>
    </w:p>
  </w:footnote>
  <w:footnote w:id="1">
    <w:p w:rsidR="006F466B" w:rsidRPr="00BA5F19" w:rsidRDefault="006F466B" w:rsidP="006F466B">
      <w:pPr>
        <w:pStyle w:val="FootnoteText"/>
        <w:ind w:left="142" w:hanging="142"/>
        <w:rPr>
          <w:rFonts w:ascii="Arial" w:hAnsi="Arial" w:cs="Arial"/>
          <w:sz w:val="16"/>
          <w:szCs w:val="16"/>
        </w:rPr>
      </w:pPr>
      <w:r w:rsidRPr="00BA5F19">
        <w:rPr>
          <w:rStyle w:val="FootnoteReference"/>
          <w:rFonts w:ascii="Arial" w:hAnsi="Arial" w:cs="Arial"/>
          <w:sz w:val="16"/>
          <w:szCs w:val="16"/>
        </w:rPr>
        <w:footnoteRef/>
      </w:r>
      <w:r w:rsidRPr="00BA5F19">
        <w:rPr>
          <w:rFonts w:ascii="Arial" w:hAnsi="Arial" w:cs="Arial"/>
          <w:sz w:val="16"/>
          <w:szCs w:val="16"/>
        </w:rPr>
        <w:t xml:space="preserve"> S.26 Equality Act 2010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5C6"/>
    <w:multiLevelType w:val="hybridMultilevel"/>
    <w:tmpl w:val="DE10C306"/>
    <w:lvl w:ilvl="0" w:tplc="7160042E">
      <w:start w:val="1"/>
      <w:numFmt w:val="decimal"/>
      <w:suff w:val="space"/>
      <w:lvlText w:val="%1."/>
      <w:lvlJc w:val="left"/>
      <w:pPr>
        <w:ind w:left="3197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3798" w:hanging="360"/>
      </w:pPr>
    </w:lvl>
    <w:lvl w:ilvl="2" w:tplc="08090001">
      <w:start w:val="1"/>
      <w:numFmt w:val="bullet"/>
      <w:lvlText w:val=""/>
      <w:lvlJc w:val="left"/>
      <w:pPr>
        <w:ind w:left="4518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5238" w:hanging="360"/>
      </w:pPr>
    </w:lvl>
    <w:lvl w:ilvl="4" w:tplc="08090019" w:tentative="1">
      <w:start w:val="1"/>
      <w:numFmt w:val="lowerLetter"/>
      <w:lvlText w:val="%5."/>
      <w:lvlJc w:val="left"/>
      <w:pPr>
        <w:ind w:left="5958" w:hanging="360"/>
      </w:pPr>
    </w:lvl>
    <w:lvl w:ilvl="5" w:tplc="0809001B" w:tentative="1">
      <w:start w:val="1"/>
      <w:numFmt w:val="lowerRoman"/>
      <w:lvlText w:val="%6."/>
      <w:lvlJc w:val="right"/>
      <w:pPr>
        <w:ind w:left="6678" w:hanging="180"/>
      </w:pPr>
    </w:lvl>
    <w:lvl w:ilvl="6" w:tplc="0809000F" w:tentative="1">
      <w:start w:val="1"/>
      <w:numFmt w:val="decimal"/>
      <w:lvlText w:val="%7."/>
      <w:lvlJc w:val="left"/>
      <w:pPr>
        <w:ind w:left="7398" w:hanging="360"/>
      </w:pPr>
    </w:lvl>
    <w:lvl w:ilvl="7" w:tplc="08090019" w:tentative="1">
      <w:start w:val="1"/>
      <w:numFmt w:val="lowerLetter"/>
      <w:lvlText w:val="%8."/>
      <w:lvlJc w:val="left"/>
      <w:pPr>
        <w:ind w:left="8118" w:hanging="360"/>
      </w:pPr>
    </w:lvl>
    <w:lvl w:ilvl="8" w:tplc="0809001B" w:tentative="1">
      <w:start w:val="1"/>
      <w:numFmt w:val="lowerRoman"/>
      <w:lvlText w:val="%9."/>
      <w:lvlJc w:val="right"/>
      <w:pPr>
        <w:ind w:left="8838" w:hanging="180"/>
      </w:pPr>
    </w:lvl>
  </w:abstractNum>
  <w:abstractNum w:abstractNumId="1">
    <w:nsid w:val="74390CA2"/>
    <w:multiLevelType w:val="hybridMultilevel"/>
    <w:tmpl w:val="A6860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6B"/>
    <w:rsid w:val="00007DD8"/>
    <w:rsid w:val="00012080"/>
    <w:rsid w:val="000174CB"/>
    <w:rsid w:val="00023E19"/>
    <w:rsid w:val="00024ABC"/>
    <w:rsid w:val="000251E3"/>
    <w:rsid w:val="0002735E"/>
    <w:rsid w:val="00027A66"/>
    <w:rsid w:val="000300C7"/>
    <w:rsid w:val="000318EF"/>
    <w:rsid w:val="00037689"/>
    <w:rsid w:val="00050D0B"/>
    <w:rsid w:val="0005523B"/>
    <w:rsid w:val="00064C3F"/>
    <w:rsid w:val="00090CB8"/>
    <w:rsid w:val="00092CF4"/>
    <w:rsid w:val="000A0AE2"/>
    <w:rsid w:val="000A1421"/>
    <w:rsid w:val="000A7F53"/>
    <w:rsid w:val="000C7A30"/>
    <w:rsid w:val="000E4569"/>
    <w:rsid w:val="000F5E20"/>
    <w:rsid w:val="00100972"/>
    <w:rsid w:val="001011FD"/>
    <w:rsid w:val="00110B85"/>
    <w:rsid w:val="001127DC"/>
    <w:rsid w:val="00116FA1"/>
    <w:rsid w:val="00120311"/>
    <w:rsid w:val="00127F9B"/>
    <w:rsid w:val="00131FE1"/>
    <w:rsid w:val="00134326"/>
    <w:rsid w:val="001353F1"/>
    <w:rsid w:val="001368EE"/>
    <w:rsid w:val="00154A2B"/>
    <w:rsid w:val="00163E92"/>
    <w:rsid w:val="00166BEA"/>
    <w:rsid w:val="00171E0A"/>
    <w:rsid w:val="00181720"/>
    <w:rsid w:val="00185897"/>
    <w:rsid w:val="00191F33"/>
    <w:rsid w:val="0019567F"/>
    <w:rsid w:val="001A4E2E"/>
    <w:rsid w:val="001A52B2"/>
    <w:rsid w:val="001A5D78"/>
    <w:rsid w:val="001C6E20"/>
    <w:rsid w:val="001D6E92"/>
    <w:rsid w:val="001D7ABE"/>
    <w:rsid w:val="001E08D9"/>
    <w:rsid w:val="001E24D2"/>
    <w:rsid w:val="001E3DF9"/>
    <w:rsid w:val="001E6916"/>
    <w:rsid w:val="001F4048"/>
    <w:rsid w:val="001F40C5"/>
    <w:rsid w:val="00207B64"/>
    <w:rsid w:val="00214306"/>
    <w:rsid w:val="00215E2F"/>
    <w:rsid w:val="002221AF"/>
    <w:rsid w:val="00222861"/>
    <w:rsid w:val="0022382D"/>
    <w:rsid w:val="002254AB"/>
    <w:rsid w:val="00226836"/>
    <w:rsid w:val="00227187"/>
    <w:rsid w:val="00237F33"/>
    <w:rsid w:val="00244D68"/>
    <w:rsid w:val="00263C15"/>
    <w:rsid w:val="0026686C"/>
    <w:rsid w:val="002734FE"/>
    <w:rsid w:val="0027484F"/>
    <w:rsid w:val="002763F8"/>
    <w:rsid w:val="00284AF7"/>
    <w:rsid w:val="002A1DF0"/>
    <w:rsid w:val="002A53C4"/>
    <w:rsid w:val="002A5588"/>
    <w:rsid w:val="002B033F"/>
    <w:rsid w:val="002B0A5E"/>
    <w:rsid w:val="002C268B"/>
    <w:rsid w:val="002C27BB"/>
    <w:rsid w:val="002C5EF9"/>
    <w:rsid w:val="002D28EC"/>
    <w:rsid w:val="002D68B6"/>
    <w:rsid w:val="002E05C2"/>
    <w:rsid w:val="002E2E95"/>
    <w:rsid w:val="002E5308"/>
    <w:rsid w:val="002E7A1F"/>
    <w:rsid w:val="0030429A"/>
    <w:rsid w:val="00304D13"/>
    <w:rsid w:val="003206B4"/>
    <w:rsid w:val="0033569B"/>
    <w:rsid w:val="00337DDE"/>
    <w:rsid w:val="00341992"/>
    <w:rsid w:val="00346CF9"/>
    <w:rsid w:val="00354C24"/>
    <w:rsid w:val="00356AEC"/>
    <w:rsid w:val="003628D9"/>
    <w:rsid w:val="00362A69"/>
    <w:rsid w:val="00364219"/>
    <w:rsid w:val="00364C8A"/>
    <w:rsid w:val="003652D3"/>
    <w:rsid w:val="003702C2"/>
    <w:rsid w:val="00372312"/>
    <w:rsid w:val="003743BF"/>
    <w:rsid w:val="0037604E"/>
    <w:rsid w:val="00380B7C"/>
    <w:rsid w:val="0038198F"/>
    <w:rsid w:val="00385F9F"/>
    <w:rsid w:val="00391F8B"/>
    <w:rsid w:val="003A3DEE"/>
    <w:rsid w:val="003A42A1"/>
    <w:rsid w:val="003A6B44"/>
    <w:rsid w:val="003A75BD"/>
    <w:rsid w:val="003B0CFA"/>
    <w:rsid w:val="003B5615"/>
    <w:rsid w:val="003B6DF7"/>
    <w:rsid w:val="003C3C45"/>
    <w:rsid w:val="003D1773"/>
    <w:rsid w:val="003D26A7"/>
    <w:rsid w:val="003D4E07"/>
    <w:rsid w:val="003E3F8A"/>
    <w:rsid w:val="003F31D3"/>
    <w:rsid w:val="003F53FC"/>
    <w:rsid w:val="00400261"/>
    <w:rsid w:val="00404D40"/>
    <w:rsid w:val="00422068"/>
    <w:rsid w:val="00426360"/>
    <w:rsid w:val="00433056"/>
    <w:rsid w:val="0043332F"/>
    <w:rsid w:val="00442CDC"/>
    <w:rsid w:val="00446080"/>
    <w:rsid w:val="00452201"/>
    <w:rsid w:val="00456027"/>
    <w:rsid w:val="0045779E"/>
    <w:rsid w:val="00462BF7"/>
    <w:rsid w:val="00464003"/>
    <w:rsid w:val="004670BF"/>
    <w:rsid w:val="004734BA"/>
    <w:rsid w:val="004815E0"/>
    <w:rsid w:val="00481C0B"/>
    <w:rsid w:val="00482846"/>
    <w:rsid w:val="00484866"/>
    <w:rsid w:val="00490632"/>
    <w:rsid w:val="00492FF8"/>
    <w:rsid w:val="004932D0"/>
    <w:rsid w:val="004A5E7E"/>
    <w:rsid w:val="004B1CF8"/>
    <w:rsid w:val="004C68D2"/>
    <w:rsid w:val="004C7547"/>
    <w:rsid w:val="004C7B47"/>
    <w:rsid w:val="004D0898"/>
    <w:rsid w:val="004D0B01"/>
    <w:rsid w:val="004D3B85"/>
    <w:rsid w:val="004E1B00"/>
    <w:rsid w:val="004E3EA0"/>
    <w:rsid w:val="004E509E"/>
    <w:rsid w:val="004E5752"/>
    <w:rsid w:val="004E5F1D"/>
    <w:rsid w:val="004F5F37"/>
    <w:rsid w:val="004F6CD5"/>
    <w:rsid w:val="00507901"/>
    <w:rsid w:val="00525A21"/>
    <w:rsid w:val="00525C8D"/>
    <w:rsid w:val="00527BD9"/>
    <w:rsid w:val="0054304E"/>
    <w:rsid w:val="0054388C"/>
    <w:rsid w:val="00557226"/>
    <w:rsid w:val="0056398B"/>
    <w:rsid w:val="00572199"/>
    <w:rsid w:val="00575B95"/>
    <w:rsid w:val="005760D9"/>
    <w:rsid w:val="00580EB4"/>
    <w:rsid w:val="00582668"/>
    <w:rsid w:val="00585255"/>
    <w:rsid w:val="00586782"/>
    <w:rsid w:val="005872FF"/>
    <w:rsid w:val="00596739"/>
    <w:rsid w:val="00597596"/>
    <w:rsid w:val="005A0CEA"/>
    <w:rsid w:val="005A2D96"/>
    <w:rsid w:val="005A732F"/>
    <w:rsid w:val="005B041C"/>
    <w:rsid w:val="005B3FAE"/>
    <w:rsid w:val="005B492B"/>
    <w:rsid w:val="005C78F7"/>
    <w:rsid w:val="005D702F"/>
    <w:rsid w:val="005E035E"/>
    <w:rsid w:val="005F156E"/>
    <w:rsid w:val="005F1CE2"/>
    <w:rsid w:val="005F685F"/>
    <w:rsid w:val="00600433"/>
    <w:rsid w:val="00602853"/>
    <w:rsid w:val="00604197"/>
    <w:rsid w:val="00605248"/>
    <w:rsid w:val="0061455F"/>
    <w:rsid w:val="0061617D"/>
    <w:rsid w:val="0062415E"/>
    <w:rsid w:val="00635E6C"/>
    <w:rsid w:val="00646B4F"/>
    <w:rsid w:val="00651795"/>
    <w:rsid w:val="00651FC6"/>
    <w:rsid w:val="00660080"/>
    <w:rsid w:val="00662676"/>
    <w:rsid w:val="0067037F"/>
    <w:rsid w:val="00671066"/>
    <w:rsid w:val="00671192"/>
    <w:rsid w:val="006725F1"/>
    <w:rsid w:val="00677920"/>
    <w:rsid w:val="0068188E"/>
    <w:rsid w:val="006919DC"/>
    <w:rsid w:val="006935BE"/>
    <w:rsid w:val="006942A1"/>
    <w:rsid w:val="0069540E"/>
    <w:rsid w:val="006A07DD"/>
    <w:rsid w:val="006A441A"/>
    <w:rsid w:val="006B2026"/>
    <w:rsid w:val="006C2EE4"/>
    <w:rsid w:val="006C30F1"/>
    <w:rsid w:val="006D0A5D"/>
    <w:rsid w:val="006D7578"/>
    <w:rsid w:val="006E1145"/>
    <w:rsid w:val="006E3A68"/>
    <w:rsid w:val="006E5133"/>
    <w:rsid w:val="006E7833"/>
    <w:rsid w:val="006F244A"/>
    <w:rsid w:val="006F3093"/>
    <w:rsid w:val="006F466B"/>
    <w:rsid w:val="006F4FF3"/>
    <w:rsid w:val="007032D6"/>
    <w:rsid w:val="00704A8E"/>
    <w:rsid w:val="007055D3"/>
    <w:rsid w:val="00707EE5"/>
    <w:rsid w:val="0071679B"/>
    <w:rsid w:val="00721079"/>
    <w:rsid w:val="00727682"/>
    <w:rsid w:val="00734437"/>
    <w:rsid w:val="007418E6"/>
    <w:rsid w:val="00743F34"/>
    <w:rsid w:val="00744146"/>
    <w:rsid w:val="00745A9A"/>
    <w:rsid w:val="00763350"/>
    <w:rsid w:val="00765CF2"/>
    <w:rsid w:val="00765D30"/>
    <w:rsid w:val="00781389"/>
    <w:rsid w:val="0079603C"/>
    <w:rsid w:val="007971C1"/>
    <w:rsid w:val="007A1209"/>
    <w:rsid w:val="007A40F0"/>
    <w:rsid w:val="007C2556"/>
    <w:rsid w:val="007C55EF"/>
    <w:rsid w:val="007D3F1F"/>
    <w:rsid w:val="007D59DD"/>
    <w:rsid w:val="007D627C"/>
    <w:rsid w:val="007D69D9"/>
    <w:rsid w:val="007F619E"/>
    <w:rsid w:val="007F756C"/>
    <w:rsid w:val="0080169C"/>
    <w:rsid w:val="00806AF3"/>
    <w:rsid w:val="0081107A"/>
    <w:rsid w:val="00812203"/>
    <w:rsid w:val="0081616D"/>
    <w:rsid w:val="00820025"/>
    <w:rsid w:val="00825156"/>
    <w:rsid w:val="008253F6"/>
    <w:rsid w:val="0082611A"/>
    <w:rsid w:val="00831DE0"/>
    <w:rsid w:val="00834353"/>
    <w:rsid w:val="0083518B"/>
    <w:rsid w:val="00835EB3"/>
    <w:rsid w:val="00835FF1"/>
    <w:rsid w:val="00836191"/>
    <w:rsid w:val="00840E7C"/>
    <w:rsid w:val="008428B0"/>
    <w:rsid w:val="00844968"/>
    <w:rsid w:val="0085264C"/>
    <w:rsid w:val="008577BF"/>
    <w:rsid w:val="00871866"/>
    <w:rsid w:val="0087413C"/>
    <w:rsid w:val="00874ACE"/>
    <w:rsid w:val="00874BE4"/>
    <w:rsid w:val="00875778"/>
    <w:rsid w:val="00891748"/>
    <w:rsid w:val="008936B7"/>
    <w:rsid w:val="008C20CA"/>
    <w:rsid w:val="008C567A"/>
    <w:rsid w:val="008E2C7F"/>
    <w:rsid w:val="008F4589"/>
    <w:rsid w:val="00905730"/>
    <w:rsid w:val="00907346"/>
    <w:rsid w:val="00930C51"/>
    <w:rsid w:val="00945B02"/>
    <w:rsid w:val="00952AE9"/>
    <w:rsid w:val="009532E0"/>
    <w:rsid w:val="00957793"/>
    <w:rsid w:val="00964B66"/>
    <w:rsid w:val="00966076"/>
    <w:rsid w:val="00971C79"/>
    <w:rsid w:val="0097630F"/>
    <w:rsid w:val="00976B53"/>
    <w:rsid w:val="00982EA8"/>
    <w:rsid w:val="0098327A"/>
    <w:rsid w:val="009835FC"/>
    <w:rsid w:val="00997C89"/>
    <w:rsid w:val="009A45F2"/>
    <w:rsid w:val="009A47CB"/>
    <w:rsid w:val="009A6DDA"/>
    <w:rsid w:val="009D719B"/>
    <w:rsid w:val="009E5E40"/>
    <w:rsid w:val="009F185C"/>
    <w:rsid w:val="00A03BCC"/>
    <w:rsid w:val="00A230AB"/>
    <w:rsid w:val="00A238BE"/>
    <w:rsid w:val="00A24B64"/>
    <w:rsid w:val="00A4120F"/>
    <w:rsid w:val="00A4668D"/>
    <w:rsid w:val="00A51862"/>
    <w:rsid w:val="00A52900"/>
    <w:rsid w:val="00A5340C"/>
    <w:rsid w:val="00A57E13"/>
    <w:rsid w:val="00A630D2"/>
    <w:rsid w:val="00A656A7"/>
    <w:rsid w:val="00A65815"/>
    <w:rsid w:val="00A7115E"/>
    <w:rsid w:val="00A74227"/>
    <w:rsid w:val="00A802DC"/>
    <w:rsid w:val="00A83B4A"/>
    <w:rsid w:val="00A84572"/>
    <w:rsid w:val="00A90A20"/>
    <w:rsid w:val="00A95332"/>
    <w:rsid w:val="00AA01F6"/>
    <w:rsid w:val="00AA7D7E"/>
    <w:rsid w:val="00AC01B8"/>
    <w:rsid w:val="00AC1FA5"/>
    <w:rsid w:val="00AC4168"/>
    <w:rsid w:val="00AC4289"/>
    <w:rsid w:val="00AC6BFE"/>
    <w:rsid w:val="00AD06A0"/>
    <w:rsid w:val="00AD4A18"/>
    <w:rsid w:val="00AE0357"/>
    <w:rsid w:val="00AE038E"/>
    <w:rsid w:val="00AF0043"/>
    <w:rsid w:val="00AF142C"/>
    <w:rsid w:val="00AF60B5"/>
    <w:rsid w:val="00AF697C"/>
    <w:rsid w:val="00B0038B"/>
    <w:rsid w:val="00B05014"/>
    <w:rsid w:val="00B07EDE"/>
    <w:rsid w:val="00B11E9A"/>
    <w:rsid w:val="00B124C2"/>
    <w:rsid w:val="00B165D9"/>
    <w:rsid w:val="00B25E6D"/>
    <w:rsid w:val="00B27076"/>
    <w:rsid w:val="00B36222"/>
    <w:rsid w:val="00B371E4"/>
    <w:rsid w:val="00B401E4"/>
    <w:rsid w:val="00B418AA"/>
    <w:rsid w:val="00B42FED"/>
    <w:rsid w:val="00B5187C"/>
    <w:rsid w:val="00B5711E"/>
    <w:rsid w:val="00B60738"/>
    <w:rsid w:val="00B60977"/>
    <w:rsid w:val="00B71242"/>
    <w:rsid w:val="00B72FDF"/>
    <w:rsid w:val="00B73372"/>
    <w:rsid w:val="00B74C2E"/>
    <w:rsid w:val="00B75001"/>
    <w:rsid w:val="00B7760F"/>
    <w:rsid w:val="00B803BB"/>
    <w:rsid w:val="00B807D6"/>
    <w:rsid w:val="00B902D6"/>
    <w:rsid w:val="00B9225A"/>
    <w:rsid w:val="00B92AA9"/>
    <w:rsid w:val="00BA3F56"/>
    <w:rsid w:val="00BB1697"/>
    <w:rsid w:val="00BB7125"/>
    <w:rsid w:val="00BB7F3C"/>
    <w:rsid w:val="00BC111A"/>
    <w:rsid w:val="00BC1928"/>
    <w:rsid w:val="00BC3241"/>
    <w:rsid w:val="00BC61B6"/>
    <w:rsid w:val="00BC70C9"/>
    <w:rsid w:val="00BD337C"/>
    <w:rsid w:val="00BD5622"/>
    <w:rsid w:val="00BF022B"/>
    <w:rsid w:val="00C024A0"/>
    <w:rsid w:val="00C03302"/>
    <w:rsid w:val="00C060ED"/>
    <w:rsid w:val="00C109EE"/>
    <w:rsid w:val="00C10F74"/>
    <w:rsid w:val="00C13E2D"/>
    <w:rsid w:val="00C157EC"/>
    <w:rsid w:val="00C159BF"/>
    <w:rsid w:val="00C25031"/>
    <w:rsid w:val="00C26FD0"/>
    <w:rsid w:val="00C31D44"/>
    <w:rsid w:val="00C40A52"/>
    <w:rsid w:val="00C41B0D"/>
    <w:rsid w:val="00C43D7F"/>
    <w:rsid w:val="00C44E0F"/>
    <w:rsid w:val="00C52DBA"/>
    <w:rsid w:val="00C577AB"/>
    <w:rsid w:val="00C82D41"/>
    <w:rsid w:val="00CA6807"/>
    <w:rsid w:val="00CC32AD"/>
    <w:rsid w:val="00CC4852"/>
    <w:rsid w:val="00CC4B17"/>
    <w:rsid w:val="00CD586E"/>
    <w:rsid w:val="00CE5952"/>
    <w:rsid w:val="00CE714F"/>
    <w:rsid w:val="00CF275A"/>
    <w:rsid w:val="00CF74E8"/>
    <w:rsid w:val="00D10714"/>
    <w:rsid w:val="00D117BC"/>
    <w:rsid w:val="00D119E3"/>
    <w:rsid w:val="00D178B4"/>
    <w:rsid w:val="00D30034"/>
    <w:rsid w:val="00D40176"/>
    <w:rsid w:val="00D46A34"/>
    <w:rsid w:val="00D57842"/>
    <w:rsid w:val="00D57FA2"/>
    <w:rsid w:val="00D60D5A"/>
    <w:rsid w:val="00D67615"/>
    <w:rsid w:val="00D75C4F"/>
    <w:rsid w:val="00D7689F"/>
    <w:rsid w:val="00D77CFE"/>
    <w:rsid w:val="00D84FD6"/>
    <w:rsid w:val="00D90A0E"/>
    <w:rsid w:val="00D92479"/>
    <w:rsid w:val="00D9294F"/>
    <w:rsid w:val="00D97313"/>
    <w:rsid w:val="00D97B57"/>
    <w:rsid w:val="00DA0A72"/>
    <w:rsid w:val="00DA2D93"/>
    <w:rsid w:val="00DA4CE7"/>
    <w:rsid w:val="00DC2E0F"/>
    <w:rsid w:val="00DC71C1"/>
    <w:rsid w:val="00DD1B2F"/>
    <w:rsid w:val="00DD2F3E"/>
    <w:rsid w:val="00DD73A4"/>
    <w:rsid w:val="00DE2A8E"/>
    <w:rsid w:val="00DE3C88"/>
    <w:rsid w:val="00DE6D97"/>
    <w:rsid w:val="00DF3843"/>
    <w:rsid w:val="00DF5E40"/>
    <w:rsid w:val="00E01259"/>
    <w:rsid w:val="00E01C78"/>
    <w:rsid w:val="00E21651"/>
    <w:rsid w:val="00E22799"/>
    <w:rsid w:val="00E26DE0"/>
    <w:rsid w:val="00E426C9"/>
    <w:rsid w:val="00E519A4"/>
    <w:rsid w:val="00E55918"/>
    <w:rsid w:val="00E60D02"/>
    <w:rsid w:val="00E61893"/>
    <w:rsid w:val="00E64353"/>
    <w:rsid w:val="00E733AE"/>
    <w:rsid w:val="00E74331"/>
    <w:rsid w:val="00E84072"/>
    <w:rsid w:val="00E84BED"/>
    <w:rsid w:val="00E878B8"/>
    <w:rsid w:val="00E90BA5"/>
    <w:rsid w:val="00E94238"/>
    <w:rsid w:val="00EA7EC9"/>
    <w:rsid w:val="00EC4075"/>
    <w:rsid w:val="00EC6D71"/>
    <w:rsid w:val="00EC74A6"/>
    <w:rsid w:val="00ED5EBB"/>
    <w:rsid w:val="00ED6B56"/>
    <w:rsid w:val="00EE15C7"/>
    <w:rsid w:val="00EE3E9F"/>
    <w:rsid w:val="00EF0487"/>
    <w:rsid w:val="00EF0596"/>
    <w:rsid w:val="00EF0AA3"/>
    <w:rsid w:val="00EF2E98"/>
    <w:rsid w:val="00EF4452"/>
    <w:rsid w:val="00EF5588"/>
    <w:rsid w:val="00F0005A"/>
    <w:rsid w:val="00F0514B"/>
    <w:rsid w:val="00F10127"/>
    <w:rsid w:val="00F1432D"/>
    <w:rsid w:val="00F161D7"/>
    <w:rsid w:val="00F17712"/>
    <w:rsid w:val="00F2491B"/>
    <w:rsid w:val="00F27458"/>
    <w:rsid w:val="00F30749"/>
    <w:rsid w:val="00F326FF"/>
    <w:rsid w:val="00F3678D"/>
    <w:rsid w:val="00F43E05"/>
    <w:rsid w:val="00F473BD"/>
    <w:rsid w:val="00F57E20"/>
    <w:rsid w:val="00F60D87"/>
    <w:rsid w:val="00F63625"/>
    <w:rsid w:val="00F72158"/>
    <w:rsid w:val="00F72BC3"/>
    <w:rsid w:val="00F80056"/>
    <w:rsid w:val="00F8065E"/>
    <w:rsid w:val="00F8481E"/>
    <w:rsid w:val="00F862B7"/>
    <w:rsid w:val="00F87552"/>
    <w:rsid w:val="00F87930"/>
    <w:rsid w:val="00F96533"/>
    <w:rsid w:val="00FA18F3"/>
    <w:rsid w:val="00FA1F56"/>
    <w:rsid w:val="00FA6454"/>
    <w:rsid w:val="00FB1872"/>
    <w:rsid w:val="00FB1A44"/>
    <w:rsid w:val="00FB1D13"/>
    <w:rsid w:val="00FB1DAF"/>
    <w:rsid w:val="00FB4C9E"/>
    <w:rsid w:val="00FB514D"/>
    <w:rsid w:val="00FB58FB"/>
    <w:rsid w:val="00FC0F7E"/>
    <w:rsid w:val="00FD0415"/>
    <w:rsid w:val="00FD2BCA"/>
    <w:rsid w:val="00FD63FA"/>
    <w:rsid w:val="00FE056D"/>
    <w:rsid w:val="00FE304F"/>
    <w:rsid w:val="00FE43D3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F466B"/>
    <w:pPr>
      <w:keepLines/>
    </w:pPr>
    <w:rPr>
      <w:rFonts w:ascii="Candara" w:hAnsi="Candara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466B"/>
    <w:rPr>
      <w:rFonts w:ascii="Candara" w:eastAsia="Times New Roman" w:hAnsi="Candara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rsid w:val="006F466B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6F466B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466B"/>
    <w:rPr>
      <w:rFonts w:ascii="Consolas" w:eastAsia="Calibri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F46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66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F466B"/>
    <w:pPr>
      <w:keepLines/>
      <w:ind w:left="720"/>
      <w:contextualSpacing/>
    </w:pPr>
    <w:rPr>
      <w:rFonts w:ascii="Arial" w:hAnsi="Arial"/>
      <w:sz w:val="22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F466B"/>
    <w:pPr>
      <w:keepLines/>
    </w:pPr>
    <w:rPr>
      <w:rFonts w:ascii="Candara" w:hAnsi="Candara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466B"/>
    <w:rPr>
      <w:rFonts w:ascii="Candara" w:eastAsia="Times New Roman" w:hAnsi="Candara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rsid w:val="006F466B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6F466B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466B"/>
    <w:rPr>
      <w:rFonts w:ascii="Consolas" w:eastAsia="Calibri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F46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66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F466B"/>
    <w:pPr>
      <w:keepLines/>
      <w:ind w:left="720"/>
      <w:contextualSpacing/>
    </w:pPr>
    <w:rPr>
      <w:rFonts w:ascii="Arial" w:hAnsi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SXMW7HPC</dc:creator>
  <cp:lastModifiedBy>pati-svc</cp:lastModifiedBy>
  <cp:revision>2</cp:revision>
  <dcterms:created xsi:type="dcterms:W3CDTF">2015-06-15T14:00:00Z</dcterms:created>
  <dcterms:modified xsi:type="dcterms:W3CDTF">2015-06-15T14:00:00Z</dcterms:modified>
</cp:coreProperties>
</file>