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E4" w:rsidRDefault="00702DE4" w:rsidP="00702DE4">
      <w:pPr>
        <w:spacing w:line="276" w:lineRule="auto"/>
        <w:jc w:val="center"/>
      </w:pPr>
      <w:r w:rsidRPr="009B0264">
        <w:rPr>
          <w:noProof/>
          <w:lang w:eastAsia="en-GB"/>
        </w:rPr>
        <w:drawing>
          <wp:inline distT="0" distB="0" distL="0" distR="0" wp14:anchorId="65C47739" wp14:editId="3D1EBE7E">
            <wp:extent cx="27432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590550"/>
                    </a:xfrm>
                    <a:prstGeom prst="rect">
                      <a:avLst/>
                    </a:prstGeom>
                    <a:noFill/>
                    <a:ln>
                      <a:noFill/>
                    </a:ln>
                  </pic:spPr>
                </pic:pic>
              </a:graphicData>
            </a:graphic>
          </wp:inline>
        </w:drawing>
      </w:r>
    </w:p>
    <w:p w:rsidR="00702DE4" w:rsidRDefault="00702DE4" w:rsidP="00702DE4">
      <w:pPr>
        <w:spacing w:line="276" w:lineRule="auto"/>
      </w:pPr>
    </w:p>
    <w:p w:rsidR="00702DE4" w:rsidRPr="00745B2D" w:rsidRDefault="00702DE4" w:rsidP="00702DE4">
      <w:pPr>
        <w:spacing w:after="0" w:line="276" w:lineRule="auto"/>
        <w:jc w:val="center"/>
        <w:rPr>
          <w:b/>
          <w:sz w:val="32"/>
        </w:rPr>
      </w:pPr>
      <w:r w:rsidRPr="00745B2D">
        <w:rPr>
          <w:b/>
          <w:sz w:val="32"/>
        </w:rPr>
        <w:t>OCCASIONAL MENTORING SCHEME</w:t>
      </w:r>
      <w:r>
        <w:rPr>
          <w:b/>
          <w:sz w:val="32"/>
        </w:rPr>
        <w:t>: A GUIDE</w:t>
      </w:r>
    </w:p>
    <w:p w:rsidR="00702DE4" w:rsidRDefault="00702DE4" w:rsidP="00702DE4">
      <w:pPr>
        <w:spacing w:after="0" w:line="240" w:lineRule="auto"/>
      </w:pPr>
      <w:r>
        <w:t xml:space="preserve"> </w:t>
      </w:r>
    </w:p>
    <w:p w:rsidR="00702DE4" w:rsidRPr="00745B2D" w:rsidRDefault="00702DE4" w:rsidP="00702DE4">
      <w:pPr>
        <w:spacing w:line="276" w:lineRule="auto"/>
        <w:rPr>
          <w:b/>
          <w:sz w:val="28"/>
        </w:rPr>
      </w:pPr>
      <w:r>
        <w:rPr>
          <w:b/>
          <w:color w:val="984806" w:themeColor="accent6" w:themeShade="80"/>
          <w:sz w:val="28"/>
        </w:rPr>
        <w:t xml:space="preserve">What is occasional (“one-off”) </w:t>
      </w:r>
      <w:r w:rsidRPr="00745B2D">
        <w:rPr>
          <w:b/>
          <w:color w:val="984806" w:themeColor="accent6" w:themeShade="80"/>
          <w:sz w:val="28"/>
        </w:rPr>
        <w:t>mentoring</w:t>
      </w:r>
      <w:r>
        <w:rPr>
          <w:b/>
          <w:color w:val="984806" w:themeColor="accent6" w:themeShade="80"/>
          <w:sz w:val="28"/>
        </w:rPr>
        <w:t xml:space="preserve">? </w:t>
      </w:r>
    </w:p>
    <w:p w:rsidR="00702DE4" w:rsidRPr="00745B2D" w:rsidRDefault="00702DE4" w:rsidP="00702DE4">
      <w:pPr>
        <w:spacing w:after="200" w:line="276" w:lineRule="auto"/>
        <w:jc w:val="both"/>
        <w:rPr>
          <w:sz w:val="24"/>
        </w:rPr>
      </w:pPr>
      <w:r w:rsidRPr="00745B2D">
        <w:rPr>
          <w:sz w:val="24"/>
        </w:rPr>
        <w:t>At some time or other in our careers at the Bar, most of us feel the need to talk to somebody who can offer advice and the benefit of their experience. Often someone in Chambers or a former pupil supervisor can fulfil that role, but sometimes those people may not be appropriate. This is when a Mentor – an informed, objective and supportive barrister who practises in a similar field but is outside your immediate workplace – can provide a sympathetic ear and impartial guidance on how you might achieve your career goals.</w:t>
      </w:r>
    </w:p>
    <w:p w:rsidR="00702DE4" w:rsidRPr="00745B2D" w:rsidRDefault="00702DE4" w:rsidP="00702DE4">
      <w:pPr>
        <w:spacing w:after="200" w:line="276" w:lineRule="auto"/>
        <w:jc w:val="both"/>
      </w:pPr>
      <w:r w:rsidRPr="00745B2D">
        <w:rPr>
          <w:sz w:val="24"/>
        </w:rPr>
        <w:t xml:space="preserve">Some specialist Bar Associations operate “role model” mentoring schemes, which aim to generate a relationship over time through regular contact between Mentor and Mentee. Since TECBAR is a relatively small association, what we </w:t>
      </w:r>
      <w:r w:rsidRPr="00534F02">
        <w:rPr>
          <w:sz w:val="24"/>
        </w:rPr>
        <w:t xml:space="preserve">offer </w:t>
      </w:r>
      <w:r w:rsidRPr="00745B2D">
        <w:rPr>
          <w:sz w:val="24"/>
        </w:rPr>
        <w:t>instead is “one-off” or “occasional” mentoring. This is a scheme which enables a TECBAR member to consult with a Mentor on a one-off</w:t>
      </w:r>
      <w:r>
        <w:rPr>
          <w:sz w:val="24"/>
        </w:rPr>
        <w:t xml:space="preserve"> and informal </w:t>
      </w:r>
      <w:r w:rsidRPr="00745B2D">
        <w:rPr>
          <w:sz w:val="24"/>
        </w:rPr>
        <w:t xml:space="preserve">basis and so receive support, advice or encouragement in dealing with a particular professional concern or crisis. </w:t>
      </w:r>
      <w:r w:rsidRPr="00534F02">
        <w:rPr>
          <w:sz w:val="24"/>
        </w:rPr>
        <w:t xml:space="preserve">The </w:t>
      </w:r>
      <w:r w:rsidRPr="00745B2D">
        <w:rPr>
          <w:sz w:val="24"/>
        </w:rPr>
        <w:t xml:space="preserve">member seeking support </w:t>
      </w:r>
      <w:r w:rsidRPr="00534F02">
        <w:rPr>
          <w:sz w:val="24"/>
        </w:rPr>
        <w:t xml:space="preserve">is </w:t>
      </w:r>
      <w:r w:rsidRPr="00745B2D">
        <w:rPr>
          <w:sz w:val="24"/>
        </w:rPr>
        <w:t xml:space="preserve">invited to speak </w:t>
      </w:r>
      <w:r>
        <w:rPr>
          <w:sz w:val="24"/>
        </w:rPr>
        <w:t>“</w:t>
      </w:r>
      <w:r w:rsidRPr="00534F02">
        <w:rPr>
          <w:sz w:val="24"/>
        </w:rPr>
        <w:t>one-</w:t>
      </w:r>
      <w:r>
        <w:rPr>
          <w:sz w:val="24"/>
        </w:rPr>
        <w:t>to</w:t>
      </w:r>
      <w:r w:rsidRPr="00534F02">
        <w:rPr>
          <w:sz w:val="24"/>
        </w:rPr>
        <w:t>-one</w:t>
      </w:r>
      <w:r>
        <w:rPr>
          <w:sz w:val="24"/>
        </w:rPr>
        <w:t>”</w:t>
      </w:r>
      <w:r w:rsidRPr="00534F02">
        <w:rPr>
          <w:sz w:val="24"/>
        </w:rPr>
        <w:t xml:space="preserve"> </w:t>
      </w:r>
      <w:r w:rsidRPr="00745B2D">
        <w:rPr>
          <w:sz w:val="24"/>
        </w:rPr>
        <w:t xml:space="preserve">with a more experienced member – all on a scrupulously confidential and non-judgmental basis. </w:t>
      </w:r>
    </w:p>
    <w:p w:rsidR="00702DE4" w:rsidRDefault="00702DE4" w:rsidP="00702DE4">
      <w:pPr>
        <w:spacing w:after="0" w:line="276" w:lineRule="auto"/>
        <w:rPr>
          <w:b/>
          <w:color w:val="984806" w:themeColor="accent6" w:themeShade="80"/>
          <w:sz w:val="28"/>
        </w:rPr>
      </w:pPr>
      <w:r w:rsidRPr="00534F02">
        <w:rPr>
          <w:b/>
          <w:color w:val="984806" w:themeColor="accent6" w:themeShade="80"/>
          <w:sz w:val="28"/>
        </w:rPr>
        <w:t>What does the Mentor do?</w:t>
      </w:r>
    </w:p>
    <w:p w:rsidR="00702DE4" w:rsidRPr="00534F02" w:rsidRDefault="00702DE4" w:rsidP="00702DE4">
      <w:pPr>
        <w:spacing w:before="240" w:after="0" w:line="276" w:lineRule="auto"/>
        <w:rPr>
          <w:sz w:val="24"/>
        </w:rPr>
      </w:pPr>
      <w:r w:rsidRPr="00534F02">
        <w:rPr>
          <w:sz w:val="24"/>
        </w:rPr>
        <w:t xml:space="preserve">The Mentor helps the Mentee by  </w:t>
      </w:r>
    </w:p>
    <w:p w:rsidR="00702DE4" w:rsidRPr="00534F02" w:rsidRDefault="00702DE4" w:rsidP="00702DE4">
      <w:pPr>
        <w:numPr>
          <w:ilvl w:val="0"/>
          <w:numId w:val="1"/>
        </w:numPr>
        <w:spacing w:after="0" w:line="276" w:lineRule="auto"/>
        <w:rPr>
          <w:sz w:val="24"/>
        </w:rPr>
      </w:pPr>
      <w:r w:rsidRPr="00534F02">
        <w:rPr>
          <w:sz w:val="24"/>
        </w:rPr>
        <w:t xml:space="preserve">acting as a sounding board </w:t>
      </w:r>
    </w:p>
    <w:p w:rsidR="00702DE4" w:rsidRPr="00534F02" w:rsidRDefault="00702DE4" w:rsidP="00702DE4">
      <w:pPr>
        <w:numPr>
          <w:ilvl w:val="0"/>
          <w:numId w:val="1"/>
        </w:numPr>
        <w:spacing w:after="0" w:line="276" w:lineRule="auto"/>
        <w:rPr>
          <w:sz w:val="24"/>
        </w:rPr>
      </w:pPr>
      <w:r w:rsidRPr="00534F02">
        <w:rPr>
          <w:sz w:val="24"/>
        </w:rPr>
        <w:t>discussing options</w:t>
      </w:r>
    </w:p>
    <w:p w:rsidR="00702DE4" w:rsidRDefault="00702DE4" w:rsidP="00702DE4">
      <w:pPr>
        <w:numPr>
          <w:ilvl w:val="0"/>
          <w:numId w:val="1"/>
        </w:numPr>
        <w:spacing w:after="0" w:line="276" w:lineRule="auto"/>
        <w:rPr>
          <w:sz w:val="24"/>
        </w:rPr>
      </w:pPr>
      <w:r w:rsidRPr="00534F02">
        <w:rPr>
          <w:sz w:val="24"/>
        </w:rPr>
        <w:t xml:space="preserve">passing on knowledge </w:t>
      </w:r>
    </w:p>
    <w:p w:rsidR="00702DE4" w:rsidRPr="00534F02" w:rsidRDefault="00702DE4" w:rsidP="00702DE4">
      <w:pPr>
        <w:numPr>
          <w:ilvl w:val="0"/>
          <w:numId w:val="1"/>
        </w:numPr>
        <w:spacing w:after="0" w:line="276" w:lineRule="auto"/>
        <w:rPr>
          <w:sz w:val="24"/>
        </w:rPr>
      </w:pPr>
      <w:r>
        <w:rPr>
          <w:sz w:val="24"/>
        </w:rPr>
        <w:t xml:space="preserve">sharing </w:t>
      </w:r>
      <w:r w:rsidRPr="00534F02">
        <w:rPr>
          <w:sz w:val="24"/>
        </w:rPr>
        <w:t>experience</w:t>
      </w:r>
    </w:p>
    <w:p w:rsidR="00702DE4" w:rsidRPr="00534F02" w:rsidRDefault="00702DE4" w:rsidP="00702DE4">
      <w:pPr>
        <w:numPr>
          <w:ilvl w:val="0"/>
          <w:numId w:val="1"/>
        </w:numPr>
        <w:spacing w:after="0" w:line="276" w:lineRule="auto"/>
        <w:rPr>
          <w:sz w:val="24"/>
        </w:rPr>
      </w:pPr>
      <w:r w:rsidRPr="00534F02">
        <w:rPr>
          <w:sz w:val="24"/>
        </w:rPr>
        <w:t xml:space="preserve">signposting the right direction </w:t>
      </w:r>
    </w:p>
    <w:p w:rsidR="00702DE4" w:rsidRDefault="00702DE4" w:rsidP="00702DE4">
      <w:pPr>
        <w:numPr>
          <w:ilvl w:val="0"/>
          <w:numId w:val="1"/>
        </w:numPr>
        <w:spacing w:after="0" w:line="276" w:lineRule="auto"/>
        <w:rPr>
          <w:sz w:val="24"/>
        </w:rPr>
      </w:pPr>
      <w:r w:rsidRPr="00534F02">
        <w:rPr>
          <w:sz w:val="24"/>
        </w:rPr>
        <w:t>giving support</w:t>
      </w:r>
    </w:p>
    <w:p w:rsidR="00702DE4" w:rsidRDefault="00702DE4" w:rsidP="00702DE4">
      <w:pPr>
        <w:numPr>
          <w:ilvl w:val="0"/>
          <w:numId w:val="1"/>
        </w:numPr>
        <w:spacing w:after="0" w:line="276" w:lineRule="auto"/>
        <w:rPr>
          <w:sz w:val="24"/>
        </w:rPr>
      </w:pPr>
      <w:r>
        <w:rPr>
          <w:sz w:val="24"/>
        </w:rPr>
        <w:t>preserving confidentiality</w:t>
      </w:r>
    </w:p>
    <w:p w:rsidR="00702DE4" w:rsidRPr="00745B2D" w:rsidRDefault="00702DE4" w:rsidP="00702DE4">
      <w:pPr>
        <w:spacing w:after="0" w:line="276" w:lineRule="auto"/>
        <w:rPr>
          <w:sz w:val="28"/>
        </w:rPr>
      </w:pPr>
    </w:p>
    <w:p w:rsidR="00702DE4" w:rsidRPr="00534F02" w:rsidRDefault="00702DE4" w:rsidP="00702DE4">
      <w:pPr>
        <w:spacing w:line="276" w:lineRule="auto"/>
        <w:rPr>
          <w:b/>
          <w:color w:val="984806" w:themeColor="accent6" w:themeShade="80"/>
          <w:sz w:val="28"/>
        </w:rPr>
      </w:pPr>
      <w:r w:rsidRPr="00534F02">
        <w:rPr>
          <w:b/>
          <w:color w:val="984806" w:themeColor="accent6" w:themeShade="80"/>
          <w:sz w:val="28"/>
        </w:rPr>
        <w:t xml:space="preserve">What are the Benefits to </w:t>
      </w:r>
      <w:r>
        <w:rPr>
          <w:b/>
          <w:color w:val="984806" w:themeColor="accent6" w:themeShade="80"/>
          <w:sz w:val="28"/>
        </w:rPr>
        <w:t xml:space="preserve">the </w:t>
      </w:r>
      <w:r w:rsidRPr="00534F02">
        <w:rPr>
          <w:b/>
          <w:color w:val="984806" w:themeColor="accent6" w:themeShade="80"/>
          <w:sz w:val="28"/>
        </w:rPr>
        <w:t xml:space="preserve">Mentee? </w:t>
      </w:r>
    </w:p>
    <w:p w:rsidR="00702DE4" w:rsidRDefault="00702DE4" w:rsidP="00702DE4">
      <w:pPr>
        <w:numPr>
          <w:ilvl w:val="0"/>
          <w:numId w:val="1"/>
        </w:numPr>
        <w:spacing w:after="0" w:line="276" w:lineRule="auto"/>
        <w:rPr>
          <w:sz w:val="24"/>
        </w:rPr>
      </w:pPr>
      <w:r>
        <w:rPr>
          <w:sz w:val="24"/>
        </w:rPr>
        <w:t>i</w:t>
      </w:r>
      <w:r w:rsidRPr="00745B2D">
        <w:rPr>
          <w:sz w:val="24"/>
        </w:rPr>
        <w:t xml:space="preserve">mproved self-confidence and self-esteem </w:t>
      </w:r>
    </w:p>
    <w:p w:rsidR="00702DE4" w:rsidRDefault="00702DE4" w:rsidP="00702DE4">
      <w:pPr>
        <w:numPr>
          <w:ilvl w:val="0"/>
          <w:numId w:val="1"/>
        </w:numPr>
        <w:spacing w:after="0" w:line="276" w:lineRule="auto"/>
        <w:rPr>
          <w:sz w:val="24"/>
        </w:rPr>
      </w:pPr>
      <w:r>
        <w:rPr>
          <w:sz w:val="24"/>
        </w:rPr>
        <w:t xml:space="preserve">renewed </w:t>
      </w:r>
      <w:r w:rsidRPr="00534F02">
        <w:rPr>
          <w:sz w:val="24"/>
        </w:rPr>
        <w:t xml:space="preserve">motivation </w:t>
      </w:r>
    </w:p>
    <w:p w:rsidR="00702DE4" w:rsidRDefault="00702DE4" w:rsidP="00702DE4">
      <w:pPr>
        <w:numPr>
          <w:ilvl w:val="0"/>
          <w:numId w:val="1"/>
        </w:numPr>
        <w:spacing w:after="0" w:line="276" w:lineRule="auto"/>
        <w:rPr>
          <w:sz w:val="24"/>
        </w:rPr>
      </w:pPr>
      <w:r>
        <w:rPr>
          <w:sz w:val="24"/>
        </w:rPr>
        <w:t>c</w:t>
      </w:r>
      <w:r w:rsidRPr="00534F02">
        <w:rPr>
          <w:sz w:val="24"/>
        </w:rPr>
        <w:t xml:space="preserve">learer understanding of career opportunities </w:t>
      </w:r>
    </w:p>
    <w:p w:rsidR="00702DE4" w:rsidRDefault="00702DE4" w:rsidP="00702DE4">
      <w:pPr>
        <w:numPr>
          <w:ilvl w:val="0"/>
          <w:numId w:val="1"/>
        </w:numPr>
        <w:spacing w:after="0" w:line="276" w:lineRule="auto"/>
        <w:rPr>
          <w:sz w:val="24"/>
        </w:rPr>
      </w:pPr>
      <w:r>
        <w:rPr>
          <w:sz w:val="24"/>
        </w:rPr>
        <w:t>s</w:t>
      </w:r>
      <w:r w:rsidRPr="00534F02">
        <w:rPr>
          <w:sz w:val="24"/>
        </w:rPr>
        <w:t xml:space="preserve">upport in managing </w:t>
      </w:r>
      <w:r>
        <w:rPr>
          <w:sz w:val="24"/>
        </w:rPr>
        <w:t xml:space="preserve">professional </w:t>
      </w:r>
      <w:r w:rsidRPr="00534F02">
        <w:rPr>
          <w:sz w:val="24"/>
        </w:rPr>
        <w:t xml:space="preserve">relationships </w:t>
      </w:r>
    </w:p>
    <w:p w:rsidR="00702DE4" w:rsidRDefault="00702DE4" w:rsidP="00702DE4">
      <w:pPr>
        <w:numPr>
          <w:ilvl w:val="0"/>
          <w:numId w:val="1"/>
        </w:numPr>
        <w:spacing w:after="0" w:line="276" w:lineRule="auto"/>
        <w:rPr>
          <w:sz w:val="24"/>
        </w:rPr>
      </w:pPr>
      <w:r w:rsidRPr="00534F02">
        <w:rPr>
          <w:sz w:val="24"/>
        </w:rPr>
        <w:t xml:space="preserve">reduced feelings of isolation </w:t>
      </w:r>
    </w:p>
    <w:p w:rsidR="00702DE4" w:rsidRDefault="00702DE4" w:rsidP="00702DE4">
      <w:pPr>
        <w:numPr>
          <w:ilvl w:val="0"/>
          <w:numId w:val="1"/>
        </w:numPr>
        <w:spacing w:after="0" w:line="276" w:lineRule="auto"/>
        <w:rPr>
          <w:sz w:val="24"/>
        </w:rPr>
      </w:pPr>
      <w:r>
        <w:rPr>
          <w:sz w:val="24"/>
        </w:rPr>
        <w:t>b</w:t>
      </w:r>
      <w:r w:rsidRPr="00534F02">
        <w:rPr>
          <w:sz w:val="24"/>
        </w:rPr>
        <w:t xml:space="preserve">roadening of horizons and experience </w:t>
      </w:r>
    </w:p>
    <w:p w:rsidR="00702DE4" w:rsidRPr="00534F02" w:rsidRDefault="00702DE4" w:rsidP="00702DE4">
      <w:pPr>
        <w:numPr>
          <w:ilvl w:val="0"/>
          <w:numId w:val="1"/>
        </w:numPr>
        <w:spacing w:after="0" w:line="276" w:lineRule="auto"/>
        <w:rPr>
          <w:sz w:val="24"/>
        </w:rPr>
      </w:pPr>
      <w:r>
        <w:rPr>
          <w:sz w:val="24"/>
        </w:rPr>
        <w:t>r</w:t>
      </w:r>
      <w:r w:rsidRPr="00534F02">
        <w:rPr>
          <w:sz w:val="24"/>
        </w:rPr>
        <w:t xml:space="preserve">aised career achievements and expectations </w:t>
      </w:r>
    </w:p>
    <w:p w:rsidR="00702DE4" w:rsidRPr="00534F02" w:rsidRDefault="00702DE4" w:rsidP="00702DE4">
      <w:pPr>
        <w:spacing w:after="0" w:line="276" w:lineRule="auto"/>
        <w:ind w:left="720"/>
        <w:rPr>
          <w:sz w:val="24"/>
        </w:rPr>
      </w:pPr>
    </w:p>
    <w:p w:rsidR="00702DE4" w:rsidRPr="00534F02" w:rsidRDefault="00702DE4" w:rsidP="00702DE4">
      <w:pPr>
        <w:spacing w:line="276" w:lineRule="auto"/>
        <w:rPr>
          <w:b/>
          <w:color w:val="984806" w:themeColor="accent6" w:themeShade="80"/>
          <w:sz w:val="28"/>
        </w:rPr>
      </w:pPr>
      <w:r w:rsidRPr="00534F02">
        <w:rPr>
          <w:b/>
          <w:color w:val="984806" w:themeColor="accent6" w:themeShade="80"/>
          <w:sz w:val="28"/>
        </w:rPr>
        <w:t xml:space="preserve">What are the Benefits to the Mentor? </w:t>
      </w:r>
    </w:p>
    <w:p w:rsidR="00702DE4" w:rsidRDefault="00702DE4" w:rsidP="00702DE4">
      <w:pPr>
        <w:numPr>
          <w:ilvl w:val="0"/>
          <w:numId w:val="1"/>
        </w:numPr>
        <w:spacing w:after="0" w:line="276" w:lineRule="auto"/>
        <w:rPr>
          <w:sz w:val="24"/>
        </w:rPr>
      </w:pPr>
      <w:r>
        <w:rPr>
          <w:sz w:val="24"/>
        </w:rPr>
        <w:t>t</w:t>
      </w:r>
      <w:r w:rsidRPr="00745B2D">
        <w:rPr>
          <w:sz w:val="24"/>
        </w:rPr>
        <w:t xml:space="preserve">he enjoyment of a rewarding challenge </w:t>
      </w:r>
    </w:p>
    <w:p w:rsidR="00702DE4" w:rsidRDefault="00702DE4" w:rsidP="00702DE4">
      <w:pPr>
        <w:numPr>
          <w:ilvl w:val="0"/>
          <w:numId w:val="1"/>
        </w:numPr>
        <w:spacing w:after="0" w:line="276" w:lineRule="auto"/>
        <w:rPr>
          <w:sz w:val="24"/>
        </w:rPr>
      </w:pPr>
      <w:r>
        <w:rPr>
          <w:sz w:val="24"/>
        </w:rPr>
        <w:t>m</w:t>
      </w:r>
      <w:r w:rsidRPr="00534F02">
        <w:rPr>
          <w:sz w:val="24"/>
        </w:rPr>
        <w:t xml:space="preserve">aking a contribution, individually and professionally </w:t>
      </w:r>
    </w:p>
    <w:p w:rsidR="00702DE4" w:rsidRDefault="00702DE4" w:rsidP="00702DE4">
      <w:pPr>
        <w:numPr>
          <w:ilvl w:val="0"/>
          <w:numId w:val="1"/>
        </w:numPr>
        <w:spacing w:after="0" w:line="276" w:lineRule="auto"/>
        <w:rPr>
          <w:sz w:val="24"/>
        </w:rPr>
      </w:pPr>
      <w:r>
        <w:rPr>
          <w:sz w:val="24"/>
        </w:rPr>
        <w:t>f</w:t>
      </w:r>
      <w:r w:rsidRPr="00534F02">
        <w:rPr>
          <w:sz w:val="24"/>
        </w:rPr>
        <w:t xml:space="preserve">eeling valued as a role model </w:t>
      </w:r>
    </w:p>
    <w:p w:rsidR="00702DE4" w:rsidRDefault="00702DE4" w:rsidP="00702DE4">
      <w:pPr>
        <w:numPr>
          <w:ilvl w:val="0"/>
          <w:numId w:val="1"/>
        </w:numPr>
        <w:spacing w:after="0" w:line="276" w:lineRule="auto"/>
        <w:rPr>
          <w:sz w:val="24"/>
        </w:rPr>
      </w:pPr>
      <w:r>
        <w:rPr>
          <w:sz w:val="24"/>
        </w:rPr>
        <w:t>r</w:t>
      </w:r>
      <w:r w:rsidRPr="00534F02">
        <w:rPr>
          <w:sz w:val="24"/>
        </w:rPr>
        <w:t xml:space="preserve">efreshing and validating their own experiences </w:t>
      </w:r>
    </w:p>
    <w:p w:rsidR="00702DE4" w:rsidRPr="00534F02" w:rsidRDefault="00702DE4" w:rsidP="00702DE4">
      <w:pPr>
        <w:numPr>
          <w:ilvl w:val="0"/>
          <w:numId w:val="1"/>
        </w:numPr>
        <w:spacing w:after="0" w:line="276" w:lineRule="auto"/>
        <w:rPr>
          <w:sz w:val="24"/>
        </w:rPr>
      </w:pPr>
      <w:r>
        <w:rPr>
          <w:sz w:val="24"/>
        </w:rPr>
        <w:t>g</w:t>
      </w:r>
      <w:r w:rsidRPr="00534F02">
        <w:rPr>
          <w:sz w:val="24"/>
        </w:rPr>
        <w:t>aining other perspectives</w:t>
      </w:r>
    </w:p>
    <w:p w:rsidR="00702DE4" w:rsidRDefault="00702DE4" w:rsidP="00702DE4">
      <w:pPr>
        <w:spacing w:after="0" w:line="276" w:lineRule="auto"/>
        <w:rPr>
          <w:sz w:val="24"/>
        </w:rPr>
      </w:pPr>
      <w:r w:rsidRPr="00745B2D">
        <w:rPr>
          <w:sz w:val="24"/>
        </w:rPr>
        <w:t xml:space="preserve"> </w:t>
      </w:r>
    </w:p>
    <w:p w:rsidR="00702DE4" w:rsidRPr="00E73BEC" w:rsidRDefault="00702DE4" w:rsidP="00702DE4">
      <w:pPr>
        <w:spacing w:line="276" w:lineRule="auto"/>
        <w:rPr>
          <w:b/>
          <w:color w:val="984806" w:themeColor="accent6" w:themeShade="80"/>
          <w:sz w:val="28"/>
          <w:szCs w:val="28"/>
        </w:rPr>
      </w:pPr>
      <w:r w:rsidRPr="00E73BEC">
        <w:rPr>
          <w:b/>
          <w:color w:val="984806" w:themeColor="accent6" w:themeShade="80"/>
          <w:sz w:val="28"/>
          <w:szCs w:val="28"/>
        </w:rPr>
        <w:t xml:space="preserve">How do I become a Mentee? </w:t>
      </w:r>
    </w:p>
    <w:p w:rsidR="00702DE4" w:rsidRPr="00E73BEC" w:rsidRDefault="00702DE4" w:rsidP="00702DE4">
      <w:pPr>
        <w:spacing w:line="276" w:lineRule="auto"/>
        <w:jc w:val="both"/>
        <w:rPr>
          <w:sz w:val="24"/>
        </w:rPr>
      </w:pPr>
      <w:r w:rsidRPr="00E73BEC">
        <w:rPr>
          <w:sz w:val="24"/>
        </w:rPr>
        <w:t>If you would like</w:t>
      </w:r>
      <w:r>
        <w:rPr>
          <w:sz w:val="24"/>
        </w:rPr>
        <w:t xml:space="preserve"> to speak to</w:t>
      </w:r>
      <w:r w:rsidRPr="00E73BEC">
        <w:rPr>
          <w:sz w:val="24"/>
        </w:rPr>
        <w:t xml:space="preserve"> </w:t>
      </w:r>
      <w:r>
        <w:rPr>
          <w:sz w:val="24"/>
        </w:rPr>
        <w:t xml:space="preserve">a one-off </w:t>
      </w:r>
      <w:r w:rsidRPr="00E73BEC">
        <w:rPr>
          <w:sz w:val="24"/>
        </w:rPr>
        <w:t xml:space="preserve">Mentor, you need to complete the Mentee Form, </w:t>
      </w:r>
      <w:r>
        <w:rPr>
          <w:sz w:val="24"/>
        </w:rPr>
        <w:t xml:space="preserve">a copy of which accompanies this Guide and which is also </w:t>
      </w:r>
      <w:r w:rsidRPr="00E73BEC">
        <w:rPr>
          <w:sz w:val="24"/>
        </w:rPr>
        <w:t xml:space="preserve">available on the </w:t>
      </w:r>
      <w:r>
        <w:rPr>
          <w:sz w:val="24"/>
        </w:rPr>
        <w:t xml:space="preserve">TECBAR </w:t>
      </w:r>
      <w:r w:rsidRPr="00E73BEC">
        <w:rPr>
          <w:sz w:val="24"/>
        </w:rPr>
        <w:t xml:space="preserve">website. </w:t>
      </w:r>
      <w:r>
        <w:rPr>
          <w:sz w:val="24"/>
        </w:rPr>
        <w:t>The form asks you to provide some information about your p</w:t>
      </w:r>
      <w:r w:rsidRPr="00E73BEC">
        <w:rPr>
          <w:sz w:val="24"/>
        </w:rPr>
        <w:t>rofessional background</w:t>
      </w:r>
      <w:r>
        <w:rPr>
          <w:sz w:val="24"/>
        </w:rPr>
        <w:t xml:space="preserve">, and you also have </w:t>
      </w:r>
      <w:r w:rsidRPr="00E73BEC">
        <w:rPr>
          <w:sz w:val="24"/>
        </w:rPr>
        <w:t xml:space="preserve">an opportunity to identify </w:t>
      </w:r>
      <w:r>
        <w:rPr>
          <w:sz w:val="24"/>
        </w:rPr>
        <w:t xml:space="preserve">in broad terms </w:t>
      </w:r>
      <w:r w:rsidRPr="00E73BEC">
        <w:rPr>
          <w:sz w:val="24"/>
        </w:rPr>
        <w:t xml:space="preserve">any particular issues that you </w:t>
      </w:r>
      <w:r>
        <w:rPr>
          <w:sz w:val="24"/>
        </w:rPr>
        <w:t>would like to discuss with a Mentor.</w:t>
      </w:r>
      <w:r w:rsidRPr="00E73BEC">
        <w:rPr>
          <w:sz w:val="24"/>
        </w:rPr>
        <w:t xml:space="preserve"> </w:t>
      </w:r>
      <w:r>
        <w:rPr>
          <w:sz w:val="24"/>
        </w:rPr>
        <w:t xml:space="preserve">The form is intended to assist with the ‘matching </w:t>
      </w:r>
      <w:proofErr w:type="gramStart"/>
      <w:r>
        <w:rPr>
          <w:sz w:val="24"/>
        </w:rPr>
        <w:t>process’</w:t>
      </w:r>
      <w:proofErr w:type="gramEnd"/>
      <w:r>
        <w:rPr>
          <w:sz w:val="24"/>
        </w:rPr>
        <w:t xml:space="preserve"> (as to which see further below). </w:t>
      </w:r>
      <w:r w:rsidRPr="00E73BEC">
        <w:rPr>
          <w:sz w:val="24"/>
        </w:rPr>
        <w:t xml:space="preserve">The form should be sent to </w:t>
      </w:r>
      <w:r>
        <w:rPr>
          <w:sz w:val="24"/>
        </w:rPr>
        <w:t>one of TECBAR’s Equality and Diversity Officers</w:t>
      </w:r>
      <w:r w:rsidRPr="00E73BEC">
        <w:rPr>
          <w:sz w:val="24"/>
        </w:rPr>
        <w:t xml:space="preserve"> (see contact details below). </w:t>
      </w:r>
    </w:p>
    <w:p w:rsidR="00702DE4" w:rsidRDefault="00702DE4" w:rsidP="00702DE4">
      <w:pPr>
        <w:spacing w:line="276" w:lineRule="auto"/>
        <w:jc w:val="both"/>
        <w:rPr>
          <w:sz w:val="24"/>
        </w:rPr>
      </w:pPr>
      <w:r w:rsidRPr="00E73BEC">
        <w:rPr>
          <w:sz w:val="24"/>
        </w:rPr>
        <w:t xml:space="preserve">If a Mentee wishes his or her form to be anonymised for the purposes of the matching </w:t>
      </w:r>
      <w:r>
        <w:rPr>
          <w:sz w:val="24"/>
        </w:rPr>
        <w:t>pr</w:t>
      </w:r>
      <w:r w:rsidRPr="00E73BEC">
        <w:rPr>
          <w:sz w:val="24"/>
        </w:rPr>
        <w:t xml:space="preserve">ocess, or not disclosed to </w:t>
      </w:r>
      <w:r>
        <w:rPr>
          <w:sz w:val="24"/>
        </w:rPr>
        <w:t xml:space="preserve">one or other of the Equality and Diversity Officers, </w:t>
      </w:r>
      <w:r w:rsidRPr="00E73BEC">
        <w:rPr>
          <w:sz w:val="24"/>
        </w:rPr>
        <w:t xml:space="preserve">this should be </w:t>
      </w:r>
      <w:r>
        <w:rPr>
          <w:sz w:val="24"/>
        </w:rPr>
        <w:t xml:space="preserve">clearly </w:t>
      </w:r>
      <w:r w:rsidRPr="00E73BEC">
        <w:rPr>
          <w:sz w:val="24"/>
        </w:rPr>
        <w:t xml:space="preserve">stated in a covering note </w:t>
      </w:r>
      <w:r>
        <w:rPr>
          <w:sz w:val="24"/>
        </w:rPr>
        <w:t xml:space="preserve">or email </w:t>
      </w:r>
      <w:r w:rsidRPr="00E73BEC">
        <w:rPr>
          <w:sz w:val="24"/>
        </w:rPr>
        <w:t xml:space="preserve">when returning the Mentee Form. No reasons need be given. </w:t>
      </w:r>
    </w:p>
    <w:p w:rsidR="00702DE4" w:rsidRDefault="00702DE4" w:rsidP="00702DE4">
      <w:pPr>
        <w:spacing w:line="276" w:lineRule="auto"/>
        <w:jc w:val="both"/>
        <w:rPr>
          <w:sz w:val="24"/>
        </w:rPr>
      </w:pPr>
    </w:p>
    <w:p w:rsidR="00702DE4" w:rsidRDefault="00702DE4" w:rsidP="00702DE4">
      <w:pPr>
        <w:spacing w:line="276" w:lineRule="auto"/>
        <w:jc w:val="both"/>
        <w:rPr>
          <w:b/>
          <w:color w:val="984806" w:themeColor="accent6" w:themeShade="80"/>
          <w:sz w:val="28"/>
        </w:rPr>
      </w:pPr>
      <w:r w:rsidRPr="00970C7D">
        <w:rPr>
          <w:b/>
          <w:color w:val="984806" w:themeColor="accent6" w:themeShade="80"/>
          <w:sz w:val="28"/>
        </w:rPr>
        <w:t xml:space="preserve">The matching process </w:t>
      </w:r>
    </w:p>
    <w:p w:rsidR="00702DE4" w:rsidRPr="003F65FC" w:rsidRDefault="00702DE4" w:rsidP="00702DE4">
      <w:pPr>
        <w:spacing w:line="276" w:lineRule="auto"/>
        <w:jc w:val="both"/>
        <w:rPr>
          <w:sz w:val="24"/>
        </w:rPr>
      </w:pPr>
      <w:r w:rsidRPr="003F65FC">
        <w:rPr>
          <w:sz w:val="24"/>
        </w:rPr>
        <w:t>Matching is a very important part of successful mentoring</w:t>
      </w:r>
      <w:r>
        <w:rPr>
          <w:sz w:val="24"/>
        </w:rPr>
        <w:t>, though it is not essential.</w:t>
      </w:r>
      <w:r w:rsidRPr="003F65FC">
        <w:rPr>
          <w:sz w:val="24"/>
        </w:rPr>
        <w:t xml:space="preserve"> </w:t>
      </w:r>
      <w:r>
        <w:rPr>
          <w:sz w:val="24"/>
        </w:rPr>
        <w:t>T</w:t>
      </w:r>
      <w:r w:rsidRPr="003F65FC">
        <w:rPr>
          <w:sz w:val="24"/>
        </w:rPr>
        <w:t xml:space="preserve">o assist in this process, </w:t>
      </w:r>
      <w:r>
        <w:rPr>
          <w:sz w:val="24"/>
        </w:rPr>
        <w:t>those who have agreed to act as mentors are asked to complete</w:t>
      </w:r>
      <w:r w:rsidRPr="003F65FC">
        <w:rPr>
          <w:sz w:val="24"/>
        </w:rPr>
        <w:t xml:space="preserve"> a </w:t>
      </w:r>
      <w:r>
        <w:rPr>
          <w:sz w:val="24"/>
        </w:rPr>
        <w:t xml:space="preserve">‘mirror’ </w:t>
      </w:r>
      <w:r w:rsidRPr="003F65FC">
        <w:rPr>
          <w:sz w:val="24"/>
        </w:rPr>
        <w:t xml:space="preserve">form </w:t>
      </w:r>
      <w:r>
        <w:rPr>
          <w:sz w:val="24"/>
        </w:rPr>
        <w:t xml:space="preserve">which indicates the stage they have reached in their career and any topics on which they feel particularly qualified to assist. </w:t>
      </w:r>
    </w:p>
    <w:p w:rsidR="00702DE4" w:rsidRDefault="00702DE4" w:rsidP="00702DE4">
      <w:pPr>
        <w:spacing w:line="276" w:lineRule="auto"/>
        <w:jc w:val="both"/>
        <w:rPr>
          <w:sz w:val="24"/>
        </w:rPr>
      </w:pPr>
      <w:r w:rsidRPr="00E73BEC">
        <w:rPr>
          <w:sz w:val="24"/>
        </w:rPr>
        <w:t xml:space="preserve">The matching process is carried out by </w:t>
      </w:r>
      <w:r>
        <w:rPr>
          <w:sz w:val="24"/>
        </w:rPr>
        <w:t>TECBAR’s Equality and Diversity Officers (</w:t>
      </w:r>
      <w:r w:rsidRPr="00E73BEC">
        <w:rPr>
          <w:sz w:val="24"/>
        </w:rPr>
        <w:t xml:space="preserve">currently </w:t>
      </w:r>
      <w:r>
        <w:rPr>
          <w:sz w:val="24"/>
        </w:rPr>
        <w:t xml:space="preserve">Fiona Sinclair </w:t>
      </w:r>
      <w:r w:rsidRPr="00E73BEC">
        <w:rPr>
          <w:sz w:val="24"/>
        </w:rPr>
        <w:t xml:space="preserve">QC </w:t>
      </w:r>
      <w:r>
        <w:rPr>
          <w:sz w:val="24"/>
        </w:rPr>
        <w:t xml:space="preserve">and </w:t>
      </w:r>
      <w:proofErr w:type="spellStart"/>
      <w:r>
        <w:rPr>
          <w:sz w:val="24"/>
        </w:rPr>
        <w:t>Siân</w:t>
      </w:r>
      <w:proofErr w:type="spellEnd"/>
      <w:r>
        <w:rPr>
          <w:sz w:val="24"/>
        </w:rPr>
        <w:t xml:space="preserve"> Mirchandani, both of 4 New Square, Lincoln’s Inn) as Matching Panel. As above, if you prefer only one of the </w:t>
      </w:r>
      <w:proofErr w:type="gramStart"/>
      <w:r>
        <w:rPr>
          <w:sz w:val="24"/>
        </w:rPr>
        <w:t>Panel</w:t>
      </w:r>
      <w:proofErr w:type="gramEnd"/>
      <w:r>
        <w:rPr>
          <w:sz w:val="24"/>
        </w:rPr>
        <w:t xml:space="preserve"> to see your form, please say so when sending it in. </w:t>
      </w:r>
    </w:p>
    <w:p w:rsidR="00702DE4" w:rsidRDefault="00702DE4" w:rsidP="00702DE4">
      <w:pPr>
        <w:spacing w:line="276" w:lineRule="auto"/>
        <w:jc w:val="both"/>
        <w:rPr>
          <w:sz w:val="24"/>
        </w:rPr>
      </w:pPr>
      <w:r w:rsidRPr="00E73BEC">
        <w:rPr>
          <w:sz w:val="24"/>
        </w:rPr>
        <w:t xml:space="preserve">When </w:t>
      </w:r>
      <w:r>
        <w:rPr>
          <w:sz w:val="24"/>
        </w:rPr>
        <w:t xml:space="preserve">either member of </w:t>
      </w:r>
      <w:r w:rsidRPr="00E73BEC">
        <w:rPr>
          <w:sz w:val="24"/>
        </w:rPr>
        <w:t xml:space="preserve">the Matching Panel has identified a possible Mentor, </w:t>
      </w:r>
      <w:r>
        <w:rPr>
          <w:sz w:val="24"/>
        </w:rPr>
        <w:t xml:space="preserve">she </w:t>
      </w:r>
      <w:r w:rsidRPr="00E73BEC">
        <w:rPr>
          <w:sz w:val="24"/>
        </w:rPr>
        <w:t xml:space="preserve">will contact the Mentee for permission to give out the Mentee’s contact details to the prospective Mentor. If the Mentee agrees, the </w:t>
      </w:r>
      <w:r>
        <w:rPr>
          <w:sz w:val="24"/>
        </w:rPr>
        <w:t xml:space="preserve">Panel </w:t>
      </w:r>
      <w:r w:rsidRPr="00E73BEC">
        <w:rPr>
          <w:sz w:val="24"/>
        </w:rPr>
        <w:t xml:space="preserve">will then provide both the Mentor and Mentee with contact details and they will be asked to make contact with each other. If the Mentee does not agree, the </w:t>
      </w:r>
      <w:r>
        <w:rPr>
          <w:sz w:val="24"/>
        </w:rPr>
        <w:t xml:space="preserve">Panel </w:t>
      </w:r>
      <w:r w:rsidRPr="00E73BEC">
        <w:rPr>
          <w:sz w:val="24"/>
        </w:rPr>
        <w:t xml:space="preserve">will, if the Mentee </w:t>
      </w:r>
      <w:proofErr w:type="gramStart"/>
      <w:r w:rsidRPr="00E73BEC">
        <w:rPr>
          <w:sz w:val="24"/>
        </w:rPr>
        <w:t>wishes,</w:t>
      </w:r>
      <w:proofErr w:type="gramEnd"/>
      <w:r w:rsidRPr="00E73BEC">
        <w:rPr>
          <w:sz w:val="24"/>
        </w:rPr>
        <w:t xml:space="preserve"> </w:t>
      </w:r>
      <w:r>
        <w:rPr>
          <w:sz w:val="24"/>
        </w:rPr>
        <w:t xml:space="preserve">identify </w:t>
      </w:r>
      <w:r w:rsidRPr="00E73BEC">
        <w:rPr>
          <w:sz w:val="24"/>
        </w:rPr>
        <w:t xml:space="preserve">a further Mentor. </w:t>
      </w:r>
    </w:p>
    <w:p w:rsidR="00702DE4" w:rsidRDefault="00702DE4" w:rsidP="00702DE4">
      <w:pPr>
        <w:spacing w:line="276" w:lineRule="auto"/>
        <w:jc w:val="both"/>
        <w:rPr>
          <w:sz w:val="24"/>
        </w:rPr>
      </w:pPr>
    </w:p>
    <w:p w:rsidR="00702DE4" w:rsidRPr="00E73BEC" w:rsidRDefault="00702DE4" w:rsidP="00702DE4">
      <w:pPr>
        <w:spacing w:line="276" w:lineRule="auto"/>
        <w:jc w:val="both"/>
        <w:rPr>
          <w:sz w:val="24"/>
        </w:rPr>
      </w:pPr>
      <w:r w:rsidRPr="00642A76">
        <w:rPr>
          <w:b/>
          <w:color w:val="984806" w:themeColor="accent6" w:themeShade="80"/>
          <w:sz w:val="28"/>
        </w:rPr>
        <w:t>Confidentiality</w:t>
      </w:r>
    </w:p>
    <w:p w:rsidR="00702DE4" w:rsidRDefault="00702DE4" w:rsidP="00702DE4">
      <w:pPr>
        <w:spacing w:line="276" w:lineRule="auto"/>
        <w:jc w:val="both"/>
        <w:rPr>
          <w:sz w:val="24"/>
        </w:rPr>
      </w:pPr>
      <w:r>
        <w:rPr>
          <w:sz w:val="24"/>
        </w:rPr>
        <w:lastRenderedPageBreak/>
        <w:t>Emailed communications and t</w:t>
      </w:r>
      <w:r w:rsidRPr="00E73BEC">
        <w:rPr>
          <w:sz w:val="24"/>
        </w:rPr>
        <w:t xml:space="preserve">he information on the </w:t>
      </w:r>
      <w:r>
        <w:rPr>
          <w:sz w:val="24"/>
        </w:rPr>
        <w:t>Mentee F</w:t>
      </w:r>
      <w:r w:rsidRPr="00E73BEC">
        <w:rPr>
          <w:sz w:val="24"/>
        </w:rPr>
        <w:t xml:space="preserve">orms </w:t>
      </w:r>
      <w:proofErr w:type="gramStart"/>
      <w:r w:rsidRPr="00E73BEC">
        <w:rPr>
          <w:sz w:val="24"/>
        </w:rPr>
        <w:t>is</w:t>
      </w:r>
      <w:proofErr w:type="gramEnd"/>
      <w:r w:rsidRPr="00E73BEC">
        <w:rPr>
          <w:sz w:val="24"/>
        </w:rPr>
        <w:t xml:space="preserve"> kept confidential and is held by the Matching Panel</w:t>
      </w:r>
      <w:r>
        <w:rPr>
          <w:sz w:val="24"/>
        </w:rPr>
        <w:t xml:space="preserve"> until a</w:t>
      </w:r>
      <w:r w:rsidRPr="00E73BEC">
        <w:rPr>
          <w:sz w:val="24"/>
        </w:rPr>
        <w:t xml:space="preserve"> Mentee is matched with a Mentor</w:t>
      </w:r>
      <w:r>
        <w:rPr>
          <w:sz w:val="24"/>
        </w:rPr>
        <w:t>. At that point</w:t>
      </w:r>
      <w:r w:rsidRPr="00E73BEC">
        <w:rPr>
          <w:sz w:val="24"/>
        </w:rPr>
        <w:t xml:space="preserve"> </w:t>
      </w:r>
      <w:r>
        <w:rPr>
          <w:sz w:val="24"/>
        </w:rPr>
        <w:t>the completed Mentee form will be destroyed</w:t>
      </w:r>
      <w:r w:rsidRPr="00E73BEC">
        <w:rPr>
          <w:sz w:val="24"/>
        </w:rPr>
        <w:t>.</w:t>
      </w:r>
      <w:r>
        <w:rPr>
          <w:sz w:val="24"/>
        </w:rPr>
        <w:t xml:space="preserve"> </w:t>
      </w:r>
    </w:p>
    <w:p w:rsidR="00702DE4" w:rsidRDefault="00702DE4" w:rsidP="00702DE4">
      <w:pPr>
        <w:spacing w:line="276" w:lineRule="auto"/>
        <w:jc w:val="both"/>
        <w:rPr>
          <w:sz w:val="24"/>
        </w:rPr>
      </w:pPr>
      <w:r>
        <w:rPr>
          <w:sz w:val="24"/>
        </w:rPr>
        <w:t>The completed Mentor Forms will be kept confidential and is held by the Matching Panel unless and until instructed by the Mentor that they wish to withdraw from the scheme.</w:t>
      </w:r>
      <w:bookmarkStart w:id="0" w:name="_GoBack"/>
      <w:bookmarkEnd w:id="0"/>
    </w:p>
    <w:p w:rsidR="00702DE4" w:rsidRDefault="00702DE4" w:rsidP="00702DE4">
      <w:pPr>
        <w:spacing w:line="276" w:lineRule="auto"/>
        <w:jc w:val="both"/>
        <w:rPr>
          <w:sz w:val="24"/>
        </w:rPr>
      </w:pPr>
    </w:p>
    <w:p w:rsidR="00702DE4" w:rsidRPr="00970C7D" w:rsidRDefault="00702DE4" w:rsidP="00702DE4">
      <w:pPr>
        <w:spacing w:line="276" w:lineRule="auto"/>
        <w:jc w:val="both"/>
        <w:rPr>
          <w:b/>
          <w:color w:val="984806" w:themeColor="accent6" w:themeShade="80"/>
          <w:sz w:val="28"/>
        </w:rPr>
      </w:pPr>
      <w:r w:rsidRPr="00970C7D">
        <w:rPr>
          <w:b/>
          <w:color w:val="984806" w:themeColor="accent6" w:themeShade="80"/>
          <w:sz w:val="28"/>
        </w:rPr>
        <w:t xml:space="preserve">Who do I contact for further information? </w:t>
      </w:r>
    </w:p>
    <w:p w:rsidR="00702DE4" w:rsidRPr="00970C7D" w:rsidRDefault="00702DE4" w:rsidP="00702DE4">
      <w:pPr>
        <w:spacing w:line="276" w:lineRule="auto"/>
        <w:jc w:val="both"/>
        <w:rPr>
          <w:sz w:val="24"/>
        </w:rPr>
      </w:pPr>
      <w:r w:rsidRPr="00970C7D">
        <w:rPr>
          <w:sz w:val="24"/>
        </w:rPr>
        <w:t xml:space="preserve">If you would like further information about how the Scheme works, please feel free to contact: </w:t>
      </w:r>
    </w:p>
    <w:p w:rsidR="00702DE4" w:rsidRPr="003F65FC" w:rsidRDefault="00702DE4" w:rsidP="00702DE4">
      <w:pPr>
        <w:spacing w:line="276" w:lineRule="auto"/>
        <w:jc w:val="both"/>
        <w:rPr>
          <w:b/>
          <w:color w:val="984806" w:themeColor="accent6" w:themeShade="80"/>
          <w:sz w:val="24"/>
        </w:rPr>
      </w:pPr>
      <w:r w:rsidRPr="003F65FC">
        <w:rPr>
          <w:b/>
          <w:color w:val="984806" w:themeColor="accent6" w:themeShade="80"/>
          <w:sz w:val="24"/>
        </w:rPr>
        <w:t xml:space="preserve">Fiona Sinclair QC at 4 New Square </w:t>
      </w:r>
      <w:r w:rsidRPr="003F65FC">
        <w:rPr>
          <w:rFonts w:ascii="MS Gothic" w:hAnsi="MS Gothic" w:cs="MS Gothic"/>
          <w:b/>
          <w:color w:val="984806" w:themeColor="accent6" w:themeShade="80"/>
          <w:sz w:val="24"/>
        </w:rPr>
        <w:t> </w:t>
      </w:r>
      <w:r w:rsidRPr="003F65FC">
        <w:rPr>
          <w:b/>
          <w:color w:val="984806" w:themeColor="accent6" w:themeShade="80"/>
          <w:sz w:val="24"/>
        </w:rPr>
        <w:t>Tel: 020</w:t>
      </w:r>
      <w:r>
        <w:rPr>
          <w:b/>
          <w:color w:val="984806" w:themeColor="accent6" w:themeShade="80"/>
          <w:sz w:val="24"/>
        </w:rPr>
        <w:t>7</w:t>
      </w:r>
      <w:r w:rsidRPr="003F65FC">
        <w:rPr>
          <w:b/>
          <w:color w:val="984806" w:themeColor="accent6" w:themeShade="80"/>
          <w:sz w:val="24"/>
        </w:rPr>
        <w:t xml:space="preserve"> 822 2060 </w:t>
      </w:r>
      <w:r w:rsidRPr="003F65FC">
        <w:rPr>
          <w:rFonts w:ascii="MS Gothic" w:hAnsi="MS Gothic" w:cs="MS Gothic"/>
          <w:b/>
          <w:color w:val="984806" w:themeColor="accent6" w:themeShade="80"/>
          <w:sz w:val="24"/>
        </w:rPr>
        <w:t> </w:t>
      </w:r>
      <w:r w:rsidRPr="003F65FC">
        <w:rPr>
          <w:b/>
          <w:color w:val="984806" w:themeColor="accent6" w:themeShade="80"/>
          <w:sz w:val="24"/>
        </w:rPr>
        <w:t xml:space="preserve"> </w:t>
      </w:r>
    </w:p>
    <w:p w:rsidR="00702DE4" w:rsidRDefault="00702DE4" w:rsidP="00702DE4">
      <w:pPr>
        <w:spacing w:line="276" w:lineRule="auto"/>
        <w:jc w:val="both"/>
        <w:rPr>
          <w:sz w:val="24"/>
        </w:rPr>
      </w:pPr>
      <w:r>
        <w:rPr>
          <w:b/>
          <w:color w:val="984806" w:themeColor="accent6" w:themeShade="80"/>
          <w:sz w:val="24"/>
        </w:rPr>
        <w:t xml:space="preserve">  </w:t>
      </w:r>
    </w:p>
    <w:p w:rsidR="00702DE4" w:rsidRPr="003F65FC" w:rsidRDefault="00702DE4" w:rsidP="00702DE4">
      <w:pPr>
        <w:spacing w:line="276" w:lineRule="auto"/>
        <w:jc w:val="both"/>
        <w:rPr>
          <w:b/>
          <w:color w:val="984806" w:themeColor="accent6" w:themeShade="80"/>
          <w:sz w:val="24"/>
        </w:rPr>
      </w:pPr>
      <w:r w:rsidRPr="003F65FC">
        <w:rPr>
          <w:b/>
          <w:color w:val="984806" w:themeColor="accent6" w:themeShade="80"/>
          <w:sz w:val="24"/>
        </w:rPr>
        <w:t xml:space="preserve">Sian Mirchandani at 4 New Square    Tel: </w:t>
      </w:r>
      <w:r>
        <w:rPr>
          <w:b/>
          <w:color w:val="984806" w:themeColor="accent6" w:themeShade="80"/>
          <w:sz w:val="24"/>
        </w:rPr>
        <w:t xml:space="preserve">0207 822 2005 </w:t>
      </w:r>
    </w:p>
    <w:p w:rsidR="00702DE4" w:rsidRDefault="00702DE4" w:rsidP="00702DE4">
      <w:pPr>
        <w:spacing w:line="276" w:lineRule="auto"/>
        <w:jc w:val="both"/>
        <w:rPr>
          <w:b/>
          <w:color w:val="984806" w:themeColor="accent6" w:themeShade="80"/>
          <w:sz w:val="24"/>
        </w:rPr>
      </w:pPr>
      <w:r>
        <w:rPr>
          <w:b/>
          <w:color w:val="984806" w:themeColor="accent6" w:themeShade="80"/>
          <w:sz w:val="24"/>
        </w:rPr>
        <w:t xml:space="preserve"> </w:t>
      </w:r>
      <w:r w:rsidRPr="003F65FC">
        <w:rPr>
          <w:b/>
          <w:color w:val="984806" w:themeColor="accent6" w:themeShade="80"/>
          <w:sz w:val="24"/>
        </w:rPr>
        <w:t xml:space="preserve"> </w:t>
      </w:r>
      <w:r w:rsidRPr="003F65FC">
        <w:rPr>
          <w:b/>
          <w:color w:val="984806" w:themeColor="accent6" w:themeShade="80"/>
          <w:sz w:val="24"/>
        </w:rPr>
        <w:cr/>
      </w:r>
    </w:p>
    <w:p w:rsidR="00702DE4" w:rsidRPr="00745B2D" w:rsidRDefault="00702DE4" w:rsidP="00702DE4">
      <w:pPr>
        <w:spacing w:line="276" w:lineRule="auto"/>
        <w:jc w:val="both"/>
        <w:rPr>
          <w:sz w:val="24"/>
        </w:rPr>
      </w:pPr>
      <w:r>
        <w:rPr>
          <w:b/>
          <w:color w:val="984806" w:themeColor="accent6" w:themeShade="80"/>
          <w:sz w:val="24"/>
        </w:rPr>
        <w:t>Email: TECBARMentoring@4newsquare.com</w:t>
      </w:r>
    </w:p>
    <w:p w:rsidR="00AD3F90" w:rsidRDefault="00702DE4"/>
    <w:sectPr w:rsidR="00AD3F90" w:rsidSect="003F65FC">
      <w:footerReference w:type="default" r:id="rId7"/>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438861"/>
      <w:docPartObj>
        <w:docPartGallery w:val="Page Numbers (Bottom of Page)"/>
        <w:docPartUnique/>
      </w:docPartObj>
    </w:sdtPr>
    <w:sdtEndPr>
      <w:rPr>
        <w:noProof/>
      </w:rPr>
    </w:sdtEndPr>
    <w:sdtContent>
      <w:p w:rsidR="003F65FC" w:rsidRDefault="00702DE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F65FC" w:rsidRDefault="00702DE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75098"/>
    <w:multiLevelType w:val="hybridMultilevel"/>
    <w:tmpl w:val="C1A6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E4"/>
    <w:rsid w:val="00702DE4"/>
    <w:rsid w:val="00874ACE"/>
    <w:rsid w:val="00C03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2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DE4"/>
  </w:style>
  <w:style w:type="paragraph" w:styleId="BalloonText">
    <w:name w:val="Balloon Text"/>
    <w:basedOn w:val="Normal"/>
    <w:link w:val="BalloonTextChar"/>
    <w:uiPriority w:val="99"/>
    <w:semiHidden/>
    <w:unhideWhenUsed/>
    <w:rsid w:val="00702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2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DE4"/>
  </w:style>
  <w:style w:type="paragraph" w:styleId="BalloonText">
    <w:name w:val="Balloon Text"/>
    <w:basedOn w:val="Normal"/>
    <w:link w:val="BalloonTextChar"/>
    <w:uiPriority w:val="99"/>
    <w:semiHidden/>
    <w:unhideWhenUsed/>
    <w:rsid w:val="00702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701</Words>
  <Characters>4002</Characters>
  <Application>Microsoft Office Word</Application>
  <DocSecurity>0</DocSecurity>
  <Lines>33</Lines>
  <Paragraphs>9</Paragraphs>
  <ScaleCrop>false</ScaleCrop>
  <Company>Hewlett-Packard Company</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SXMW7HPC</dc:creator>
  <cp:lastModifiedBy>SXMW7HPC</cp:lastModifiedBy>
  <cp:revision>1</cp:revision>
  <dcterms:created xsi:type="dcterms:W3CDTF">2014-06-30T15:10:00Z</dcterms:created>
  <dcterms:modified xsi:type="dcterms:W3CDTF">2014-06-30T15:13:00Z</dcterms:modified>
</cp:coreProperties>
</file>