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30" w:rsidRPr="002D78EB" w:rsidRDefault="00200630" w:rsidP="00DF283F">
      <w:pPr>
        <w:jc w:val="center"/>
        <w:rPr>
          <w:rFonts w:ascii="Times New Roman" w:hAnsi="Times New Roman" w:cs="Times New Roman"/>
          <w:b/>
          <w:sz w:val="24"/>
          <w:szCs w:val="24"/>
        </w:rPr>
      </w:pPr>
      <w:bookmarkStart w:id="0" w:name="_GoBack"/>
      <w:bookmarkEnd w:id="0"/>
      <w:r w:rsidRPr="002D78EB">
        <w:rPr>
          <w:rFonts w:ascii="Times New Roman" w:hAnsi="Times New Roman" w:cs="Times New Roman"/>
          <w:b/>
          <w:sz w:val="24"/>
          <w:szCs w:val="24"/>
        </w:rPr>
        <w:t>QUANTUM MERUIT: RIGHT OR REMEDY?</w:t>
      </w:r>
    </w:p>
    <w:p w:rsidR="00200630" w:rsidRPr="002D78EB" w:rsidRDefault="00200630" w:rsidP="00DF283F">
      <w:pPr>
        <w:jc w:val="center"/>
        <w:rPr>
          <w:rFonts w:ascii="Times New Roman" w:hAnsi="Times New Roman" w:cs="Times New Roman"/>
          <w:sz w:val="24"/>
          <w:szCs w:val="24"/>
        </w:rPr>
      </w:pPr>
      <w:r w:rsidRPr="002D78EB">
        <w:rPr>
          <w:rFonts w:ascii="Times New Roman" w:hAnsi="Times New Roman" w:cs="Times New Roman"/>
          <w:sz w:val="24"/>
          <w:szCs w:val="24"/>
        </w:rPr>
        <w:t>Graham Virgo</w:t>
      </w:r>
    </w:p>
    <w:p w:rsidR="00200630" w:rsidRPr="002D78EB" w:rsidRDefault="00200630" w:rsidP="00DF283F">
      <w:pPr>
        <w:jc w:val="center"/>
        <w:rPr>
          <w:rFonts w:ascii="Times New Roman" w:hAnsi="Times New Roman" w:cs="Times New Roman"/>
          <w:sz w:val="24"/>
          <w:szCs w:val="24"/>
        </w:rPr>
      </w:pPr>
      <w:r w:rsidRPr="002D78EB">
        <w:rPr>
          <w:rFonts w:ascii="Times New Roman" w:hAnsi="Times New Roman" w:cs="Times New Roman"/>
          <w:sz w:val="24"/>
          <w:szCs w:val="24"/>
        </w:rPr>
        <w:t>Professor of English Private Law, University of Cambridge</w:t>
      </w:r>
    </w:p>
    <w:p w:rsidR="00200630" w:rsidRPr="002D78EB" w:rsidRDefault="00200630" w:rsidP="00DF283F">
      <w:pPr>
        <w:rPr>
          <w:rFonts w:ascii="Times New Roman" w:hAnsi="Times New Roman" w:cs="Times New Roman"/>
          <w:b/>
          <w:sz w:val="24"/>
          <w:szCs w:val="24"/>
        </w:rPr>
      </w:pPr>
      <w:r w:rsidRPr="002D78EB">
        <w:rPr>
          <w:rFonts w:ascii="Times New Roman" w:hAnsi="Times New Roman" w:cs="Times New Roman"/>
          <w:b/>
          <w:sz w:val="24"/>
          <w:szCs w:val="24"/>
        </w:rPr>
        <w:t xml:space="preserve">1. </w:t>
      </w:r>
      <w:r w:rsidRPr="002D78EB">
        <w:rPr>
          <w:rFonts w:ascii="Times New Roman" w:hAnsi="Times New Roman" w:cs="Times New Roman"/>
          <w:b/>
          <w:sz w:val="24"/>
          <w:szCs w:val="24"/>
        </w:rPr>
        <w:tab/>
        <w:t>The new orthodoxy</w:t>
      </w:r>
    </w:p>
    <w:p w:rsidR="00200630" w:rsidRPr="00F3643C"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 xml:space="preserve">The law of restitution is that body of law which is concerned with the award of gain-based remedies, triggered either by the defendant’s unjust enrichment at the claimant’s expense, by the commission of a relevant wrong or the vindication of a property right. Within the law of unjust enrichment the defendant can be considered to have been enriched either by the receipt of money, property or services and the recognised grounds of restitution apply regardless of the nature of the enrichment. Where the defendant has been enriched by the receipt of services the remedy which is awarded is described as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representing the reasonable value of the services provided.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itself originated as a form of action, but it was abolished by the Common Law Procedure Act 1852, along with other forms of action such as money had and received and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valebat</w:t>
      </w:r>
      <w:proofErr w:type="spellEnd"/>
      <w:r w:rsidRPr="002D78EB">
        <w:rPr>
          <w:rFonts w:ascii="Times New Roman" w:hAnsi="Times New Roman" w:cs="Times New Roman"/>
          <w:sz w:val="24"/>
          <w:szCs w:val="24"/>
        </w:rPr>
        <w:t xml:space="preserve"> (for the reasonable value of goods). Although the antiquated language of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is still used, this can be considered simply to be a useful shorthand to describe the remedy awarded by the court where the defendant has benefited from the claimant’s services, which would otherwise have to be called ‘the reasonable value of the service provided’ measure.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has no bearing on the nature of the cause of action. Indeed, as Lord </w:t>
      </w:r>
      <w:proofErr w:type="spellStart"/>
      <w:r w:rsidRPr="002D78EB">
        <w:rPr>
          <w:rFonts w:ascii="Times New Roman" w:hAnsi="Times New Roman" w:cs="Times New Roman"/>
          <w:sz w:val="24"/>
          <w:szCs w:val="24"/>
        </w:rPr>
        <w:t>Atkin</w:t>
      </w:r>
      <w:proofErr w:type="spellEnd"/>
      <w:r w:rsidRPr="002D78EB">
        <w:rPr>
          <w:rFonts w:ascii="Times New Roman" w:hAnsi="Times New Roman" w:cs="Times New Roman"/>
          <w:sz w:val="24"/>
          <w:szCs w:val="24"/>
        </w:rPr>
        <w:t xml:space="preserve"> recognised in </w:t>
      </w:r>
      <w:r w:rsidRPr="002D78EB">
        <w:rPr>
          <w:rFonts w:ascii="Times New Roman" w:hAnsi="Times New Roman" w:cs="Times New Roman"/>
          <w:i/>
          <w:sz w:val="24"/>
          <w:szCs w:val="24"/>
        </w:rPr>
        <w:t>United Australia Ltd v Barclays Bank Ltd</w:t>
      </w:r>
      <w:r w:rsidRPr="002D78EB">
        <w:rPr>
          <w:rFonts w:ascii="Times New Roman" w:hAnsi="Times New Roman" w:cs="Times New Roman"/>
          <w:sz w:val="24"/>
          <w:szCs w:val="24"/>
        </w:rPr>
        <w:t>,</w:t>
      </w:r>
      <w:r w:rsidRPr="002D78EB">
        <w:rPr>
          <w:rStyle w:val="FootnoteReference"/>
          <w:rFonts w:ascii="Times New Roman" w:hAnsi="Times New Roman" w:cs="Times New Roman"/>
          <w:sz w:val="24"/>
          <w:szCs w:val="24"/>
        </w:rPr>
        <w:footnoteReference w:id="1"/>
      </w:r>
      <w:r w:rsidRPr="002D78EB">
        <w:rPr>
          <w:rFonts w:ascii="Times New Roman" w:hAnsi="Times New Roman" w:cs="Times New Roman"/>
          <w:sz w:val="24"/>
          <w:szCs w:val="24"/>
        </w:rPr>
        <w:t xml:space="preserve"> as regards contracts implied to meet the perceived requirement of the old forms of action,</w:t>
      </w:r>
      <w:r w:rsidRPr="002D78EB">
        <w:rPr>
          <w:rFonts w:ascii="Times New Roman" w:hAnsi="Times New Roman" w:cs="Times New Roman"/>
          <w:i/>
          <w:sz w:val="24"/>
          <w:szCs w:val="24"/>
        </w:rPr>
        <w:t xml:space="preserve"> </w:t>
      </w:r>
      <w:r w:rsidRPr="002D78EB">
        <w:rPr>
          <w:rFonts w:ascii="Times New Roman" w:hAnsi="Times New Roman" w:cs="Times New Roman"/>
          <w:sz w:val="24"/>
          <w:szCs w:val="24"/>
        </w:rPr>
        <w:t xml:space="preserve">‘the forms of action which have now disappeared should not in these days be allowed to effect actual rights.’ </w:t>
      </w:r>
      <w:r w:rsidR="00884015">
        <w:rPr>
          <w:rFonts w:ascii="Times New Roman" w:hAnsi="Times New Roman" w:cs="Times New Roman"/>
          <w:sz w:val="24"/>
          <w:szCs w:val="24"/>
        </w:rPr>
        <w:t>It follows that the language of quasi-contract to explain these cases has long been outmoded and should be comprehensively rejected.</w:t>
      </w:r>
      <w:r w:rsidR="00884015">
        <w:rPr>
          <w:rStyle w:val="FootnoteReference"/>
          <w:rFonts w:ascii="Times New Roman" w:hAnsi="Times New Roman" w:cs="Times New Roman"/>
          <w:sz w:val="24"/>
          <w:szCs w:val="24"/>
        </w:rPr>
        <w:footnoteReference w:id="2"/>
      </w:r>
      <w:r w:rsidR="00884015">
        <w:rPr>
          <w:rFonts w:ascii="Times New Roman" w:hAnsi="Times New Roman" w:cs="Times New Roman"/>
          <w:sz w:val="24"/>
          <w:szCs w:val="24"/>
        </w:rPr>
        <w:t xml:space="preserve"> </w:t>
      </w:r>
      <w:r w:rsidRPr="002D78EB">
        <w:rPr>
          <w:rFonts w:ascii="Times New Roman" w:hAnsi="Times New Roman" w:cs="Times New Roman"/>
          <w:sz w:val="24"/>
          <w:szCs w:val="24"/>
        </w:rPr>
        <w:t xml:space="preserve">Neither does the use of the old language of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have any bearing on the interpretation of the remedy, which is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xml:space="preserve"> in that it is concerned with valuing the benefit of the service to the defendant.</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ab/>
        <w:t xml:space="preserve">The only problem with this </w:t>
      </w:r>
      <w:r w:rsidR="00BE40B4">
        <w:rPr>
          <w:rFonts w:ascii="Times New Roman" w:hAnsi="Times New Roman" w:cs="Times New Roman"/>
          <w:sz w:val="24"/>
          <w:szCs w:val="24"/>
        </w:rPr>
        <w:t xml:space="preserve">new </w:t>
      </w:r>
      <w:r w:rsidRPr="002D78EB">
        <w:rPr>
          <w:rFonts w:ascii="Times New Roman" w:hAnsi="Times New Roman" w:cs="Times New Roman"/>
          <w:sz w:val="24"/>
          <w:szCs w:val="24"/>
        </w:rPr>
        <w:t xml:space="preserve">orthodox analysis of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xml:space="preserve"> claims for services is that it is one that is not </w:t>
      </w:r>
      <w:r w:rsidR="00F44001">
        <w:rPr>
          <w:rFonts w:ascii="Times New Roman" w:hAnsi="Times New Roman" w:cs="Times New Roman"/>
          <w:sz w:val="24"/>
          <w:szCs w:val="24"/>
        </w:rPr>
        <w:t>shared by a significant number of judges and barristers</w:t>
      </w:r>
      <w:r w:rsidRPr="002D78EB">
        <w:rPr>
          <w:rFonts w:ascii="Times New Roman" w:hAnsi="Times New Roman" w:cs="Times New Roman"/>
          <w:sz w:val="24"/>
          <w:szCs w:val="24"/>
        </w:rPr>
        <w:t xml:space="preserve">.  Although sometimes the courts have explicitly recognised that a remedy of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i/>
          <w:sz w:val="24"/>
          <w:szCs w:val="24"/>
        </w:rPr>
        <w:t xml:space="preserve"> </w:t>
      </w:r>
      <w:r w:rsidRPr="002D78EB">
        <w:rPr>
          <w:rFonts w:ascii="Times New Roman" w:hAnsi="Times New Roman" w:cs="Times New Roman"/>
          <w:sz w:val="24"/>
          <w:szCs w:val="24"/>
        </w:rPr>
        <w:t>lies within the law of restitution and is founded on the reversal of the defendant’s unjust enrichment,</w:t>
      </w:r>
      <w:r w:rsidRPr="002D78EB">
        <w:rPr>
          <w:rStyle w:val="FootnoteReference"/>
          <w:rFonts w:ascii="Times New Roman" w:hAnsi="Times New Roman" w:cs="Times New Roman"/>
          <w:sz w:val="24"/>
          <w:szCs w:val="24"/>
        </w:rPr>
        <w:footnoteReference w:id="3"/>
      </w:r>
      <w:r w:rsidRPr="002D78EB">
        <w:rPr>
          <w:rFonts w:ascii="Times New Roman" w:hAnsi="Times New Roman" w:cs="Times New Roman"/>
          <w:sz w:val="24"/>
          <w:szCs w:val="24"/>
        </w:rPr>
        <w:t xml:space="preserve"> there have been cases where the courts have failed to refer to the law of unjust enrichment as the foundation for the award of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remedy, preferring instead to use the language of </w:t>
      </w:r>
      <w:proofErr w:type="spellStart"/>
      <w:r w:rsidRPr="002D78EB">
        <w:rPr>
          <w:rFonts w:ascii="Times New Roman" w:hAnsi="Times New Roman" w:cs="Times New Roman"/>
          <w:sz w:val="24"/>
          <w:szCs w:val="24"/>
        </w:rPr>
        <w:t>unconscionability</w:t>
      </w:r>
      <w:proofErr w:type="spellEnd"/>
      <w:r w:rsidRPr="002D78EB">
        <w:rPr>
          <w:rFonts w:ascii="Times New Roman" w:hAnsi="Times New Roman" w:cs="Times New Roman"/>
          <w:sz w:val="24"/>
          <w:szCs w:val="24"/>
        </w:rPr>
        <w:t>,</w:t>
      </w:r>
      <w:r w:rsidRPr="002D78EB">
        <w:rPr>
          <w:rStyle w:val="FootnoteReference"/>
          <w:rFonts w:ascii="Times New Roman" w:hAnsi="Times New Roman" w:cs="Times New Roman"/>
          <w:sz w:val="24"/>
          <w:szCs w:val="24"/>
        </w:rPr>
        <w:footnoteReference w:id="4"/>
      </w:r>
      <w:r w:rsidRPr="002D78EB">
        <w:rPr>
          <w:rFonts w:ascii="Times New Roman" w:hAnsi="Times New Roman" w:cs="Times New Roman"/>
          <w:sz w:val="24"/>
          <w:szCs w:val="24"/>
        </w:rPr>
        <w:t xml:space="preserve"> or simply assuming that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i/>
          <w:sz w:val="24"/>
          <w:szCs w:val="24"/>
        </w:rPr>
        <w:t xml:space="preserve"> </w:t>
      </w:r>
      <w:r w:rsidRPr="002D78EB">
        <w:rPr>
          <w:rFonts w:ascii="Times New Roman" w:hAnsi="Times New Roman" w:cs="Times New Roman"/>
          <w:sz w:val="24"/>
          <w:szCs w:val="24"/>
        </w:rPr>
        <w:t xml:space="preserve">is a cause of action </w:t>
      </w:r>
      <w:r w:rsidRPr="002D78EB">
        <w:rPr>
          <w:rFonts w:ascii="Times New Roman" w:hAnsi="Times New Roman" w:cs="Times New Roman"/>
          <w:sz w:val="24"/>
          <w:szCs w:val="24"/>
        </w:rPr>
        <w:lastRenderedPageBreak/>
        <w:t>in its own right</w:t>
      </w:r>
      <w:r w:rsidR="00F44001">
        <w:rPr>
          <w:rFonts w:ascii="Times New Roman" w:hAnsi="Times New Roman" w:cs="Times New Roman"/>
          <w:sz w:val="24"/>
          <w:szCs w:val="24"/>
        </w:rPr>
        <w:t>.</w:t>
      </w:r>
      <w:r w:rsidRPr="002D78EB">
        <w:rPr>
          <w:rStyle w:val="FootnoteReference"/>
          <w:rFonts w:ascii="Times New Roman" w:hAnsi="Times New Roman" w:cs="Times New Roman"/>
          <w:sz w:val="24"/>
          <w:szCs w:val="24"/>
        </w:rPr>
        <w:footnoteReference w:id="5"/>
      </w:r>
      <w:r w:rsidRPr="002D78EB">
        <w:rPr>
          <w:rFonts w:ascii="Times New Roman" w:hAnsi="Times New Roman" w:cs="Times New Roman"/>
          <w:sz w:val="24"/>
          <w:szCs w:val="24"/>
        </w:rPr>
        <w:t xml:space="preserve"> This reference to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outside of the law of unjust enrichment, might be rejected straightforwardly as unprincipled, with the judiciary simply not understanding the revolution which the law of obligation</w:t>
      </w:r>
      <w:r w:rsidR="00F44001">
        <w:rPr>
          <w:rFonts w:ascii="Times New Roman" w:hAnsi="Times New Roman" w:cs="Times New Roman"/>
          <w:sz w:val="24"/>
          <w:szCs w:val="24"/>
        </w:rPr>
        <w:t>s has undergone over the last 25</w:t>
      </w:r>
      <w:r w:rsidRPr="002D78EB">
        <w:rPr>
          <w:rFonts w:ascii="Times New Roman" w:hAnsi="Times New Roman" w:cs="Times New Roman"/>
          <w:sz w:val="24"/>
          <w:szCs w:val="24"/>
        </w:rPr>
        <w:t xml:space="preserve"> years, whereby the law of unjust enrichment is the essential touchstone against which gain-based remedies need to be assessed,</w:t>
      </w:r>
      <w:r w:rsidR="00F44001">
        <w:rPr>
          <w:rStyle w:val="FootnoteReference"/>
          <w:rFonts w:ascii="Times New Roman" w:hAnsi="Times New Roman" w:cs="Times New Roman"/>
          <w:sz w:val="24"/>
          <w:szCs w:val="24"/>
        </w:rPr>
        <w:footnoteReference w:id="6"/>
      </w:r>
      <w:r w:rsidRPr="002D78EB">
        <w:rPr>
          <w:rFonts w:ascii="Times New Roman" w:hAnsi="Times New Roman" w:cs="Times New Roman"/>
          <w:sz w:val="24"/>
          <w:szCs w:val="24"/>
        </w:rPr>
        <w:t xml:space="preserve"> at least as a cause of action distinct from that founded on wrongdoing and the vindication of property rights, neither of which will be of relevance to </w:t>
      </w:r>
      <w:r w:rsidR="00F44001">
        <w:rPr>
          <w:rFonts w:ascii="Times New Roman" w:hAnsi="Times New Roman" w:cs="Times New Roman"/>
          <w:sz w:val="24"/>
          <w:szCs w:val="24"/>
        </w:rPr>
        <w:t xml:space="preserve">gain-based </w:t>
      </w:r>
      <w:r w:rsidRPr="002D78EB">
        <w:rPr>
          <w:rFonts w:ascii="Times New Roman" w:hAnsi="Times New Roman" w:cs="Times New Roman"/>
          <w:sz w:val="24"/>
          <w:szCs w:val="24"/>
        </w:rPr>
        <w:t>claims involving services. But such a dismissal</w:t>
      </w:r>
      <w:r w:rsidR="00F44001">
        <w:rPr>
          <w:rFonts w:ascii="Times New Roman" w:hAnsi="Times New Roman" w:cs="Times New Roman"/>
          <w:sz w:val="24"/>
          <w:szCs w:val="24"/>
        </w:rPr>
        <w:t xml:space="preserve"> of recent decisions is not satisfactory</w:t>
      </w:r>
      <w:r w:rsidRPr="002D78EB">
        <w:rPr>
          <w:rFonts w:ascii="Times New Roman" w:hAnsi="Times New Roman" w:cs="Times New Roman"/>
          <w:sz w:val="24"/>
          <w:szCs w:val="24"/>
        </w:rPr>
        <w:t>, for two reasons. First, it ignores th</w:t>
      </w:r>
      <w:r w:rsidR="00F44001">
        <w:rPr>
          <w:rFonts w:ascii="Times New Roman" w:hAnsi="Times New Roman" w:cs="Times New Roman"/>
          <w:sz w:val="24"/>
          <w:szCs w:val="24"/>
        </w:rPr>
        <w:t xml:space="preserve">e </w:t>
      </w:r>
      <w:r w:rsidR="007202D1">
        <w:rPr>
          <w:rFonts w:ascii="Times New Roman" w:hAnsi="Times New Roman" w:cs="Times New Roman"/>
          <w:sz w:val="24"/>
          <w:szCs w:val="24"/>
        </w:rPr>
        <w:t xml:space="preserve">contemporary </w:t>
      </w:r>
      <w:r w:rsidR="00F44001">
        <w:rPr>
          <w:rFonts w:ascii="Times New Roman" w:hAnsi="Times New Roman" w:cs="Times New Roman"/>
          <w:sz w:val="24"/>
          <w:szCs w:val="24"/>
        </w:rPr>
        <w:t>state of the law</w:t>
      </w:r>
      <w:r w:rsidRPr="002D78EB">
        <w:rPr>
          <w:rFonts w:ascii="Times New Roman" w:hAnsi="Times New Roman" w:cs="Times New Roman"/>
          <w:sz w:val="24"/>
          <w:szCs w:val="24"/>
        </w:rPr>
        <w:t xml:space="preserve">. If judges, especially senior judges, are referring to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as a cause of action,</w:t>
      </w:r>
      <w:r w:rsidR="007202D1">
        <w:rPr>
          <w:rFonts w:ascii="Times New Roman" w:hAnsi="Times New Roman" w:cs="Times New Roman"/>
          <w:sz w:val="24"/>
          <w:szCs w:val="24"/>
        </w:rPr>
        <w:t xml:space="preserve"> it is important to consider whether, contrary to the trend of unjust enrichment jurisprudence and analysis, such a cause of action does exist and, if it does, what its component elements are and how it s</w:t>
      </w:r>
      <w:r w:rsidR="00BE40B4">
        <w:rPr>
          <w:rFonts w:ascii="Times New Roman" w:hAnsi="Times New Roman" w:cs="Times New Roman"/>
          <w:sz w:val="24"/>
          <w:szCs w:val="24"/>
        </w:rPr>
        <w:t>hould be analysed</w:t>
      </w:r>
      <w:r w:rsidR="004A73C0">
        <w:rPr>
          <w:rFonts w:ascii="Times New Roman" w:hAnsi="Times New Roman" w:cs="Times New Roman"/>
          <w:sz w:val="24"/>
          <w:szCs w:val="24"/>
        </w:rPr>
        <w:t xml:space="preserve"> and justified. </w:t>
      </w:r>
      <w:r w:rsidRPr="002D78EB">
        <w:rPr>
          <w:rFonts w:ascii="Times New Roman" w:hAnsi="Times New Roman" w:cs="Times New Roman"/>
          <w:sz w:val="24"/>
          <w:szCs w:val="24"/>
        </w:rPr>
        <w:t xml:space="preserve">Secondly, even if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is analysed simply as a remedy, it may not necessarily form part of the law of restitution, in the sense of the law of gain-based remedies, but might be contaminated with compensatory notions of reimbursement and reward. Whether this is the case and should </w:t>
      </w:r>
      <w:r w:rsidR="004A73C0">
        <w:rPr>
          <w:rFonts w:ascii="Times New Roman" w:hAnsi="Times New Roman" w:cs="Times New Roman"/>
          <w:sz w:val="24"/>
          <w:szCs w:val="24"/>
        </w:rPr>
        <w:t>be the case needs to be considered</w:t>
      </w:r>
      <w:r w:rsidRPr="002D78EB">
        <w:rPr>
          <w:rFonts w:ascii="Times New Roman" w:hAnsi="Times New Roman" w:cs="Times New Roman"/>
          <w:sz w:val="24"/>
          <w:szCs w:val="24"/>
        </w:rPr>
        <w:t xml:space="preserve"> with care.</w:t>
      </w:r>
    </w:p>
    <w:p w:rsidR="00200630" w:rsidRPr="002D78EB" w:rsidRDefault="00200630" w:rsidP="00DF283F">
      <w:pPr>
        <w:ind w:firstLine="360"/>
        <w:rPr>
          <w:rFonts w:ascii="Times New Roman" w:hAnsi="Times New Roman" w:cs="Times New Roman"/>
          <w:sz w:val="24"/>
          <w:szCs w:val="24"/>
        </w:rPr>
      </w:pPr>
      <w:r w:rsidRPr="002D78EB">
        <w:rPr>
          <w:rFonts w:ascii="Times New Roman" w:hAnsi="Times New Roman" w:cs="Times New Roman"/>
          <w:sz w:val="24"/>
          <w:szCs w:val="24"/>
        </w:rPr>
        <w:t xml:space="preserve">This paper seeks to identify whether there is an independent law of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In doing so it seeks to identify the elements of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cause of action and assesses whether such a cause of action is sufficiently distinct from the law of unjust enrichment to justify its independent existence. Ultimately this paper seeks to ask the questions: does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create rights or is it only a remedy, and, if only a remedy, what is its rationale: compensation or restitution</w:t>
      </w:r>
      <w:r w:rsidR="004A73C0">
        <w:rPr>
          <w:rFonts w:ascii="Times New Roman" w:hAnsi="Times New Roman" w:cs="Times New Roman"/>
          <w:sz w:val="24"/>
          <w:szCs w:val="24"/>
        </w:rPr>
        <w:t>, or both</w:t>
      </w:r>
      <w:r w:rsidRPr="002D78EB">
        <w:rPr>
          <w:rFonts w:ascii="Times New Roman" w:hAnsi="Times New Roman" w:cs="Times New Roman"/>
          <w:sz w:val="24"/>
          <w:szCs w:val="24"/>
        </w:rPr>
        <w:t xml:space="preserve">? </w:t>
      </w:r>
    </w:p>
    <w:p w:rsidR="00200630" w:rsidRPr="002D78EB" w:rsidRDefault="00200630" w:rsidP="00DF283F">
      <w:pPr>
        <w:rPr>
          <w:rFonts w:ascii="Times New Roman" w:hAnsi="Times New Roman" w:cs="Times New Roman"/>
          <w:b/>
          <w:sz w:val="24"/>
          <w:szCs w:val="24"/>
        </w:rPr>
      </w:pPr>
      <w:r w:rsidRPr="002D78EB">
        <w:rPr>
          <w:rFonts w:ascii="Times New Roman" w:hAnsi="Times New Roman" w:cs="Times New Roman"/>
          <w:b/>
          <w:sz w:val="24"/>
          <w:szCs w:val="24"/>
        </w:rPr>
        <w:t>2.</w:t>
      </w:r>
      <w:r w:rsidRPr="002D78EB">
        <w:rPr>
          <w:rFonts w:ascii="Times New Roman" w:hAnsi="Times New Roman" w:cs="Times New Roman"/>
          <w:b/>
          <w:sz w:val="24"/>
          <w:szCs w:val="24"/>
        </w:rPr>
        <w:tab/>
        <w:t xml:space="preserve">The recognition of a claim in </w:t>
      </w:r>
      <w:r w:rsidRPr="002D78EB">
        <w:rPr>
          <w:rFonts w:ascii="Times New Roman" w:hAnsi="Times New Roman" w:cs="Times New Roman"/>
          <w:b/>
          <w:i/>
          <w:sz w:val="24"/>
          <w:szCs w:val="24"/>
        </w:rPr>
        <w:t xml:space="preserve">quantum </w:t>
      </w:r>
      <w:proofErr w:type="spellStart"/>
      <w:r w:rsidRPr="002D78EB">
        <w:rPr>
          <w:rFonts w:ascii="Times New Roman" w:hAnsi="Times New Roman" w:cs="Times New Roman"/>
          <w:b/>
          <w:i/>
          <w:sz w:val="24"/>
          <w:szCs w:val="24"/>
        </w:rPr>
        <w:t>meruit</w:t>
      </w:r>
      <w:proofErr w:type="spellEnd"/>
    </w:p>
    <w:p w:rsidR="00200630" w:rsidRPr="004A73C0"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 xml:space="preserve">The most significant case where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was explicitly recognised as a claim in its own right is the decision of the House of Lords in </w:t>
      </w:r>
      <w:r w:rsidRPr="002D78EB">
        <w:rPr>
          <w:rFonts w:ascii="Times New Roman" w:hAnsi="Times New Roman" w:cs="Times New Roman"/>
          <w:i/>
          <w:sz w:val="24"/>
          <w:szCs w:val="24"/>
        </w:rPr>
        <w:t xml:space="preserve">Yeoman’s Row v </w:t>
      </w:r>
      <w:proofErr w:type="spellStart"/>
      <w:r w:rsidRPr="002D78EB">
        <w:rPr>
          <w:rFonts w:ascii="Times New Roman" w:hAnsi="Times New Roman" w:cs="Times New Roman"/>
          <w:i/>
          <w:sz w:val="24"/>
          <w:szCs w:val="24"/>
        </w:rPr>
        <w:t>Cobbe</w:t>
      </w:r>
      <w:proofErr w:type="spellEnd"/>
      <w:r w:rsidRPr="002D78EB">
        <w:rPr>
          <w:rFonts w:ascii="Times New Roman" w:hAnsi="Times New Roman" w:cs="Times New Roman"/>
          <w:sz w:val="24"/>
          <w:szCs w:val="24"/>
        </w:rPr>
        <w:t>,</w:t>
      </w:r>
      <w:r w:rsidRPr="002D78EB">
        <w:rPr>
          <w:rStyle w:val="FootnoteReference"/>
          <w:rFonts w:ascii="Times New Roman" w:hAnsi="Times New Roman" w:cs="Times New Roman"/>
          <w:bCs/>
          <w:sz w:val="24"/>
          <w:szCs w:val="24"/>
        </w:rPr>
        <w:footnoteReference w:id="7"/>
      </w:r>
      <w:r w:rsidRPr="002D78EB">
        <w:rPr>
          <w:rFonts w:ascii="Times New Roman" w:hAnsi="Times New Roman" w:cs="Times New Roman"/>
          <w:sz w:val="24"/>
          <w:szCs w:val="24"/>
        </w:rPr>
        <w:t xml:space="preserve"> which was the last pronouncement of the House of Lords on the law of unjust enrichment; one which leaves a lot to be desired. </w:t>
      </w:r>
      <w:r w:rsidRPr="002D78EB">
        <w:rPr>
          <w:rFonts w:ascii="Times New Roman" w:hAnsi="Times New Roman" w:cs="Times New Roman"/>
          <w:bCs/>
          <w:sz w:val="24"/>
          <w:szCs w:val="24"/>
        </w:rPr>
        <w:t>Although this case was primarily concerned with an unsuccessful claim founded on proprietary estoppel, a personal claim for the provision of services did succeed. What makes the case so significant, and unsettling, is that three distinct claims were recognised for which personal remedies were considered to be available.</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b/>
          <w:sz w:val="24"/>
          <w:szCs w:val="24"/>
        </w:rPr>
        <w:lastRenderedPageBreak/>
        <w:tab/>
      </w:r>
      <w:r w:rsidRPr="002D78EB">
        <w:rPr>
          <w:rFonts w:ascii="Times New Roman" w:hAnsi="Times New Roman" w:cs="Times New Roman"/>
          <w:sz w:val="24"/>
          <w:szCs w:val="24"/>
        </w:rPr>
        <w:t xml:space="preserve">In </w:t>
      </w:r>
      <w:r w:rsidRPr="002D78EB">
        <w:rPr>
          <w:rFonts w:ascii="Times New Roman" w:hAnsi="Times New Roman" w:cs="Times New Roman"/>
          <w:i/>
          <w:sz w:val="24"/>
          <w:szCs w:val="24"/>
        </w:rPr>
        <w:t xml:space="preserve">Yeoman’s Row </w:t>
      </w:r>
      <w:r w:rsidRPr="002D78EB">
        <w:rPr>
          <w:rFonts w:ascii="Times New Roman" w:hAnsi="Times New Roman" w:cs="Times New Roman"/>
          <w:sz w:val="24"/>
          <w:szCs w:val="24"/>
        </w:rPr>
        <w:t xml:space="preserve">the claimant had entered into an oral agreement in principle with the defendant to buy the defendant’s land. No written contract was made. The claimant successfully made an application for planning permission to develop the land. Negotiations broke down and the claimant sought a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xml:space="preserve"> remedy from the defendant. This claim succeeded on the basis that the defendant had benefited from the claimant’s services in ob</w:t>
      </w:r>
      <w:r w:rsidR="00280131">
        <w:rPr>
          <w:rFonts w:ascii="Times New Roman" w:hAnsi="Times New Roman" w:cs="Times New Roman"/>
          <w:sz w:val="24"/>
          <w:szCs w:val="24"/>
        </w:rPr>
        <w:t>taining the planning permission</w:t>
      </w:r>
      <w:r w:rsidR="00280131" w:rsidRPr="002D78EB">
        <w:rPr>
          <w:rFonts w:ascii="Times New Roman" w:hAnsi="Times New Roman" w:cs="Times New Roman"/>
          <w:sz w:val="24"/>
          <w:szCs w:val="24"/>
        </w:rPr>
        <w:t xml:space="preserve">. </w:t>
      </w:r>
      <w:r w:rsidRPr="002D78EB">
        <w:rPr>
          <w:rFonts w:ascii="Times New Roman" w:hAnsi="Times New Roman" w:cs="Times New Roman"/>
          <w:sz w:val="24"/>
          <w:szCs w:val="24"/>
        </w:rPr>
        <w:t>Lord Scott, with whom the other judges agreed, recognised that there were three well recognised common law remedies available to the claimant and that each produced a similar result</w:t>
      </w:r>
      <w:r w:rsidR="00BE40B4">
        <w:rPr>
          <w:rFonts w:ascii="Times New Roman" w:hAnsi="Times New Roman" w:cs="Times New Roman"/>
          <w:sz w:val="24"/>
          <w:szCs w:val="24"/>
        </w:rPr>
        <w:t>:</w:t>
      </w:r>
      <w:r w:rsidRPr="002D78EB">
        <w:rPr>
          <w:rStyle w:val="FootnoteReference"/>
          <w:rFonts w:ascii="Times New Roman" w:hAnsi="Times New Roman" w:cs="Times New Roman"/>
          <w:sz w:val="24"/>
          <w:szCs w:val="24"/>
        </w:rPr>
        <w:footnoteReference w:id="8"/>
      </w:r>
      <w:r w:rsidR="00BE40B4">
        <w:rPr>
          <w:rFonts w:ascii="Times New Roman" w:hAnsi="Times New Roman" w:cs="Times New Roman"/>
          <w:sz w:val="24"/>
          <w:szCs w:val="24"/>
        </w:rPr>
        <w:t xml:space="preserve"> unjust enrichment; </w:t>
      </w:r>
      <w:r w:rsidR="00BE40B4">
        <w:rPr>
          <w:rFonts w:ascii="Times New Roman" w:hAnsi="Times New Roman" w:cs="Times New Roman"/>
          <w:i/>
          <w:sz w:val="24"/>
          <w:szCs w:val="24"/>
        </w:rPr>
        <w:t xml:space="preserve">quantum </w:t>
      </w:r>
      <w:proofErr w:type="spellStart"/>
      <w:r w:rsidR="00BE40B4">
        <w:rPr>
          <w:rFonts w:ascii="Times New Roman" w:hAnsi="Times New Roman" w:cs="Times New Roman"/>
          <w:i/>
          <w:sz w:val="24"/>
          <w:szCs w:val="24"/>
        </w:rPr>
        <w:t>meruit</w:t>
      </w:r>
      <w:proofErr w:type="spellEnd"/>
      <w:r w:rsidR="00BE40B4">
        <w:rPr>
          <w:rFonts w:ascii="Times New Roman" w:hAnsi="Times New Roman" w:cs="Times New Roman"/>
          <w:sz w:val="24"/>
          <w:szCs w:val="24"/>
        </w:rPr>
        <w:t xml:space="preserve"> and restitution. </w:t>
      </w:r>
    </w:p>
    <w:p w:rsidR="00200630" w:rsidRPr="002D78EB" w:rsidRDefault="00200630" w:rsidP="00DF283F">
      <w:pPr>
        <w:ind w:left="360" w:hanging="360"/>
        <w:rPr>
          <w:rFonts w:ascii="Times New Roman" w:hAnsi="Times New Roman" w:cs="Times New Roman"/>
          <w:sz w:val="24"/>
          <w:szCs w:val="24"/>
        </w:rPr>
      </w:pPr>
      <w:r w:rsidRPr="002D78EB">
        <w:rPr>
          <w:rFonts w:ascii="Times New Roman" w:hAnsi="Times New Roman" w:cs="Times New Roman"/>
          <w:i/>
          <w:sz w:val="24"/>
          <w:szCs w:val="24"/>
        </w:rPr>
        <w:t>(</w:t>
      </w:r>
      <w:proofErr w:type="spellStart"/>
      <w:r w:rsidRPr="002D78EB">
        <w:rPr>
          <w:rFonts w:ascii="Times New Roman" w:hAnsi="Times New Roman" w:cs="Times New Roman"/>
          <w:i/>
          <w:sz w:val="24"/>
          <w:szCs w:val="24"/>
        </w:rPr>
        <w:t>i</w:t>
      </w:r>
      <w:proofErr w:type="spellEnd"/>
      <w:r w:rsidRPr="002D78EB">
        <w:rPr>
          <w:rFonts w:ascii="Times New Roman" w:hAnsi="Times New Roman" w:cs="Times New Roman"/>
          <w:i/>
          <w:sz w:val="24"/>
          <w:szCs w:val="24"/>
        </w:rPr>
        <w:t>)</w:t>
      </w:r>
      <w:r w:rsidRPr="002D78EB">
        <w:rPr>
          <w:rFonts w:ascii="Times New Roman" w:hAnsi="Times New Roman" w:cs="Times New Roman"/>
          <w:i/>
          <w:sz w:val="24"/>
          <w:szCs w:val="24"/>
        </w:rPr>
        <w:tab/>
        <w:t>Unjust enrichment</w:t>
      </w:r>
      <w:r w:rsidRPr="002D78EB">
        <w:rPr>
          <w:rFonts w:ascii="Times New Roman" w:hAnsi="Times New Roman" w:cs="Times New Roman"/>
          <w:sz w:val="24"/>
          <w:szCs w:val="24"/>
        </w:rPr>
        <w:t xml:space="preserve"> </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Lord Scott assumed that there was a remedy for unjust enrichment, without analysing its nature or ambit. The defendant was considered to have been enriched by the grant of the planning permission procured by the claimant. The value of this enrichment was considered to be what the defendant had saved by not having to pay for the planning permission, rather than the increase in value of the property after the grant of the planning permissio</w:t>
      </w:r>
      <w:r w:rsidR="00BE40B4">
        <w:rPr>
          <w:rFonts w:ascii="Times New Roman" w:hAnsi="Times New Roman" w:cs="Times New Roman"/>
          <w:sz w:val="24"/>
          <w:szCs w:val="24"/>
        </w:rPr>
        <w:t>n, since it</w:t>
      </w:r>
      <w:r w:rsidRPr="002D78EB">
        <w:rPr>
          <w:rFonts w:ascii="Times New Roman" w:hAnsi="Times New Roman" w:cs="Times New Roman"/>
          <w:sz w:val="24"/>
          <w:szCs w:val="24"/>
        </w:rPr>
        <w:t xml:space="preserve"> did not create the development potential of the property but merely unlocked it. This is a perfectly logical analysis of whether the defendant had been enriched and whether this was at the claimant’s expense. But Lord Scott concluded that a remedy for unjust enrichment would lie without identifying the third element of the formula, namely the ground of restitution. He had earlier</w:t>
      </w:r>
      <w:r w:rsidRPr="002D78EB">
        <w:rPr>
          <w:rStyle w:val="FootnoteReference"/>
          <w:rFonts w:ascii="Times New Roman" w:hAnsi="Times New Roman" w:cs="Times New Roman"/>
          <w:sz w:val="24"/>
          <w:szCs w:val="24"/>
        </w:rPr>
        <w:footnoteReference w:id="9"/>
      </w:r>
      <w:r w:rsidRPr="002D78EB">
        <w:rPr>
          <w:rFonts w:ascii="Times New Roman" w:hAnsi="Times New Roman" w:cs="Times New Roman"/>
          <w:sz w:val="24"/>
          <w:szCs w:val="24"/>
        </w:rPr>
        <w:t xml:space="preserve"> indicated that the injustice of the enrichment in this type of case could be identified from the defendant’s ‘repudiation of the oral agreement in principle that frustrated the basis upon which [the claimant] had been relying’. This might be regarded as amounting to the ground o</w:t>
      </w:r>
      <w:r w:rsidR="004A73C0">
        <w:rPr>
          <w:rFonts w:ascii="Times New Roman" w:hAnsi="Times New Roman" w:cs="Times New Roman"/>
          <w:sz w:val="24"/>
          <w:szCs w:val="24"/>
        </w:rPr>
        <w:t>f total failure of basis, in that the claimant had received nothing in return for his services in obtaining planning permission,</w:t>
      </w:r>
      <w:r w:rsidRPr="002D78EB">
        <w:rPr>
          <w:rFonts w:ascii="Times New Roman" w:hAnsi="Times New Roman" w:cs="Times New Roman"/>
          <w:sz w:val="24"/>
          <w:szCs w:val="24"/>
        </w:rPr>
        <w:t xml:space="preserve"> or even as equating with Birks’s absence of basis thesis,</w:t>
      </w:r>
      <w:r w:rsidRPr="002D78EB">
        <w:rPr>
          <w:rStyle w:val="FootnoteReference"/>
          <w:rFonts w:ascii="Times New Roman" w:hAnsi="Times New Roman" w:cs="Times New Roman"/>
          <w:sz w:val="24"/>
          <w:szCs w:val="24"/>
        </w:rPr>
        <w:footnoteReference w:id="10"/>
      </w:r>
      <w:r w:rsidRPr="002D78EB">
        <w:rPr>
          <w:rFonts w:ascii="Times New Roman" w:hAnsi="Times New Roman" w:cs="Times New Roman"/>
          <w:sz w:val="24"/>
          <w:szCs w:val="24"/>
        </w:rPr>
        <w:t xml:space="preserve"> in the sense that the repudiation of the oral agreement meant that there was no loner any basis for the claimant’s provision of the service. The reference to reliance might even indicate a new approach to the identification of the ground of restitution. Much more rigorous analysis is required before we can be certain what the trigger for such a claim might be. </w:t>
      </w:r>
      <w:r w:rsidRPr="002D78EB">
        <w:rPr>
          <w:rFonts w:ascii="Times New Roman" w:hAnsi="Times New Roman" w:cs="Times New Roman"/>
          <w:sz w:val="24"/>
          <w:szCs w:val="24"/>
        </w:rPr>
        <w:tab/>
      </w:r>
    </w:p>
    <w:p w:rsidR="00200630" w:rsidRPr="004A73C0" w:rsidRDefault="00200630" w:rsidP="00DF283F">
      <w:pPr>
        <w:rPr>
          <w:rFonts w:ascii="Times New Roman" w:hAnsi="Times New Roman" w:cs="Times New Roman"/>
          <w:i/>
          <w:sz w:val="24"/>
          <w:szCs w:val="24"/>
        </w:rPr>
      </w:pPr>
      <w:r w:rsidRPr="002D78EB">
        <w:rPr>
          <w:rFonts w:ascii="Times New Roman" w:hAnsi="Times New Roman" w:cs="Times New Roman"/>
          <w:i/>
          <w:sz w:val="24"/>
          <w:szCs w:val="24"/>
        </w:rPr>
        <w:t xml:space="preserve">(ii) Quantum </w:t>
      </w:r>
      <w:proofErr w:type="spellStart"/>
      <w:r w:rsidRPr="002D78EB">
        <w:rPr>
          <w:rFonts w:ascii="Times New Roman" w:hAnsi="Times New Roman" w:cs="Times New Roman"/>
          <w:i/>
          <w:sz w:val="24"/>
          <w:szCs w:val="24"/>
        </w:rPr>
        <w:t>meruit</w:t>
      </w:r>
      <w:proofErr w:type="spellEnd"/>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 xml:space="preserve">Alternatively Lord Scott recognised that the claimant was entitled to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payment for his services in obtaining the planning permission.’</w:t>
      </w:r>
      <w:r w:rsidRPr="002D78EB">
        <w:rPr>
          <w:rStyle w:val="FootnoteReference"/>
          <w:rFonts w:ascii="Times New Roman" w:hAnsi="Times New Roman" w:cs="Times New Roman"/>
          <w:sz w:val="24"/>
          <w:szCs w:val="24"/>
        </w:rPr>
        <w:footnoteReference w:id="11"/>
      </w:r>
      <w:r w:rsidRPr="002D78EB">
        <w:rPr>
          <w:rFonts w:ascii="Times New Roman" w:hAnsi="Times New Roman" w:cs="Times New Roman"/>
          <w:sz w:val="24"/>
          <w:szCs w:val="24"/>
        </w:rPr>
        <w:t xml:space="preserve"> He did acknowledge that the value of this remedy should ‘represent the extent of the </w:t>
      </w:r>
      <w:r w:rsidR="00BE40B4">
        <w:rPr>
          <w:rFonts w:ascii="Times New Roman" w:hAnsi="Times New Roman" w:cs="Times New Roman"/>
          <w:sz w:val="24"/>
          <w:szCs w:val="24"/>
        </w:rPr>
        <w:t xml:space="preserve">unjust enrichment for which the </w:t>
      </w:r>
      <w:r w:rsidRPr="002D78EB">
        <w:rPr>
          <w:rFonts w:ascii="Times New Roman" w:hAnsi="Times New Roman" w:cs="Times New Roman"/>
          <w:sz w:val="24"/>
          <w:szCs w:val="24"/>
        </w:rPr>
        <w:t xml:space="preserve">[defendant] should be held accountable to’ the claimant. Perhaps this indicates that Lord Scott assumed that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is triggered by unjust enrichment, but the structure of his </w:t>
      </w:r>
      <w:r w:rsidRPr="002D78EB">
        <w:rPr>
          <w:rFonts w:ascii="Times New Roman" w:hAnsi="Times New Roman" w:cs="Times New Roman"/>
          <w:sz w:val="24"/>
          <w:szCs w:val="24"/>
        </w:rPr>
        <w:lastRenderedPageBreak/>
        <w:t xml:space="preserve">judgment (treating unjust enrichment and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as distinct </w:t>
      </w:r>
      <w:r w:rsidR="00BE40B4">
        <w:rPr>
          <w:rFonts w:ascii="Times New Roman" w:hAnsi="Times New Roman" w:cs="Times New Roman"/>
          <w:sz w:val="24"/>
          <w:szCs w:val="24"/>
        </w:rPr>
        <w:t>‘</w:t>
      </w:r>
      <w:r w:rsidRPr="002D78EB">
        <w:rPr>
          <w:rFonts w:ascii="Times New Roman" w:hAnsi="Times New Roman" w:cs="Times New Roman"/>
          <w:sz w:val="24"/>
          <w:szCs w:val="24"/>
        </w:rPr>
        <w:t>remedies</w:t>
      </w:r>
      <w:r w:rsidR="00BE40B4">
        <w:rPr>
          <w:rFonts w:ascii="Times New Roman" w:hAnsi="Times New Roman" w:cs="Times New Roman"/>
          <w:sz w:val="24"/>
          <w:szCs w:val="24"/>
        </w:rPr>
        <w:t>’</w:t>
      </w:r>
      <w:r w:rsidRPr="002D78EB">
        <w:rPr>
          <w:rFonts w:ascii="Times New Roman" w:hAnsi="Times New Roman" w:cs="Times New Roman"/>
          <w:sz w:val="24"/>
          <w:szCs w:val="24"/>
        </w:rPr>
        <w:t>) and use of the language of representation</w:t>
      </w:r>
      <w:r w:rsidR="00BE40B4">
        <w:rPr>
          <w:rFonts w:ascii="Times New Roman" w:hAnsi="Times New Roman" w:cs="Times New Roman"/>
          <w:sz w:val="24"/>
          <w:szCs w:val="24"/>
        </w:rPr>
        <w:t>,</w:t>
      </w:r>
      <w:r w:rsidRPr="002D78EB">
        <w:rPr>
          <w:rFonts w:ascii="Times New Roman" w:hAnsi="Times New Roman" w:cs="Times New Roman"/>
          <w:sz w:val="24"/>
          <w:szCs w:val="24"/>
        </w:rPr>
        <w:t xml:space="preserve"> rather than being a remedy for unjust enrichment, means that the position is unclear.</w:t>
      </w:r>
    </w:p>
    <w:p w:rsidR="00200630" w:rsidRPr="00C83B9B" w:rsidRDefault="00200630" w:rsidP="00DF283F">
      <w:pPr>
        <w:rPr>
          <w:rFonts w:ascii="Times New Roman" w:hAnsi="Times New Roman" w:cs="Times New Roman"/>
          <w:i/>
          <w:sz w:val="24"/>
          <w:szCs w:val="24"/>
        </w:rPr>
      </w:pPr>
      <w:r w:rsidRPr="002D78EB">
        <w:rPr>
          <w:rFonts w:ascii="Times New Roman" w:hAnsi="Times New Roman" w:cs="Times New Roman"/>
          <w:i/>
          <w:sz w:val="24"/>
          <w:szCs w:val="24"/>
        </w:rPr>
        <w:t xml:space="preserve">(iii) </w:t>
      </w:r>
      <w:proofErr w:type="spellStart"/>
      <w:r w:rsidRPr="002D78EB">
        <w:rPr>
          <w:rFonts w:ascii="Times New Roman" w:hAnsi="Times New Roman" w:cs="Times New Roman"/>
          <w:i/>
          <w:sz w:val="24"/>
          <w:szCs w:val="24"/>
        </w:rPr>
        <w:t>Restitutionary</w:t>
      </w:r>
      <w:proofErr w:type="spellEnd"/>
      <w:r w:rsidRPr="002D78EB">
        <w:rPr>
          <w:rFonts w:ascii="Times New Roman" w:hAnsi="Times New Roman" w:cs="Times New Roman"/>
          <w:i/>
          <w:sz w:val="24"/>
          <w:szCs w:val="24"/>
        </w:rPr>
        <w:t xml:space="preserve"> remedy</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 xml:space="preserve">Finally, Lord Scott recognised that the claimant was entitled to a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xml:space="preserve"> remedy grounded on </w:t>
      </w:r>
      <w:r w:rsidR="00C83B9B">
        <w:rPr>
          <w:rFonts w:ascii="Times New Roman" w:hAnsi="Times New Roman" w:cs="Times New Roman"/>
          <w:sz w:val="24"/>
          <w:szCs w:val="24"/>
        </w:rPr>
        <w:t>what he called ‘</w:t>
      </w:r>
      <w:r w:rsidRPr="002D78EB">
        <w:rPr>
          <w:rFonts w:ascii="Times New Roman" w:hAnsi="Times New Roman" w:cs="Times New Roman"/>
          <w:sz w:val="24"/>
          <w:szCs w:val="24"/>
        </w:rPr>
        <w:t>total failure of consideration</w:t>
      </w:r>
      <w:r w:rsidR="00C83B9B">
        <w:rPr>
          <w:rFonts w:ascii="Times New Roman" w:hAnsi="Times New Roman" w:cs="Times New Roman"/>
          <w:sz w:val="24"/>
          <w:szCs w:val="24"/>
        </w:rPr>
        <w:t>’, but which is increasingly being called total failure of basis</w:t>
      </w:r>
      <w:r w:rsidRPr="002D78EB">
        <w:rPr>
          <w:rFonts w:ascii="Times New Roman" w:hAnsi="Times New Roman" w:cs="Times New Roman"/>
          <w:sz w:val="24"/>
          <w:szCs w:val="24"/>
        </w:rPr>
        <w:t>.</w:t>
      </w:r>
      <w:r w:rsidR="00C83B9B">
        <w:rPr>
          <w:rStyle w:val="FootnoteReference"/>
          <w:rFonts w:ascii="Times New Roman" w:hAnsi="Times New Roman" w:cs="Times New Roman"/>
          <w:sz w:val="24"/>
          <w:szCs w:val="24"/>
        </w:rPr>
        <w:footnoteReference w:id="12"/>
      </w:r>
      <w:r w:rsidRPr="002D78EB">
        <w:rPr>
          <w:rFonts w:ascii="Times New Roman" w:hAnsi="Times New Roman" w:cs="Times New Roman"/>
          <w:sz w:val="24"/>
          <w:szCs w:val="24"/>
        </w:rPr>
        <w:t xml:space="preserve"> He considered that this would arise where the</w:t>
      </w:r>
      <w:r w:rsidR="00BE40B4">
        <w:rPr>
          <w:rFonts w:ascii="Times New Roman" w:hAnsi="Times New Roman" w:cs="Times New Roman"/>
          <w:sz w:val="24"/>
          <w:szCs w:val="24"/>
        </w:rPr>
        <w:t xml:space="preserve"> claimant had provided </w:t>
      </w:r>
      <w:r w:rsidRPr="002D78EB">
        <w:rPr>
          <w:rFonts w:ascii="Times New Roman" w:hAnsi="Times New Roman" w:cs="Times New Roman"/>
          <w:sz w:val="24"/>
          <w:szCs w:val="24"/>
        </w:rPr>
        <w:t xml:space="preserve">services in return for a legal but unenforceable promise which the promisor refused </w:t>
      </w:r>
      <w:r w:rsidR="00BE40B4">
        <w:rPr>
          <w:rFonts w:ascii="Times New Roman" w:hAnsi="Times New Roman" w:cs="Times New Roman"/>
          <w:sz w:val="24"/>
          <w:szCs w:val="24"/>
        </w:rPr>
        <w:t xml:space="preserve">to carry out after the </w:t>
      </w:r>
      <w:r w:rsidRPr="002D78EB">
        <w:rPr>
          <w:rFonts w:ascii="Times New Roman" w:hAnsi="Times New Roman" w:cs="Times New Roman"/>
          <w:sz w:val="24"/>
          <w:szCs w:val="24"/>
        </w:rPr>
        <w:t>services had been received. The promisor’s refusal to perform would constitute a compl</w:t>
      </w:r>
      <w:r w:rsidR="00C83B9B">
        <w:rPr>
          <w:rFonts w:ascii="Times New Roman" w:hAnsi="Times New Roman" w:cs="Times New Roman"/>
          <w:sz w:val="24"/>
          <w:szCs w:val="24"/>
        </w:rPr>
        <w:t>ete failure of performance for what the claimant had provided</w:t>
      </w:r>
      <w:r w:rsidRPr="002D78EB">
        <w:rPr>
          <w:rFonts w:ascii="Times New Roman" w:hAnsi="Times New Roman" w:cs="Times New Roman"/>
          <w:sz w:val="24"/>
          <w:szCs w:val="24"/>
        </w:rPr>
        <w:t xml:space="preserve">. The claimant could then recover a fee for the services provided. Lord Scott considered that this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xml:space="preserve"> remedy would be co-extensive with the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remedy, but presumably was not identical with it.</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ab/>
        <w:t xml:space="preserve">In the end the claimant was specifically awarded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rather than a remedy in unjust enrichment or a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xml:space="preserve"> remedy. This was assessed on the basis that the defendant was entitled to the use of the architect’s plans</w:t>
      </w:r>
      <w:r w:rsidR="00C83B9B">
        <w:rPr>
          <w:rFonts w:ascii="Times New Roman" w:hAnsi="Times New Roman" w:cs="Times New Roman"/>
          <w:sz w:val="24"/>
          <w:szCs w:val="24"/>
        </w:rPr>
        <w:t xml:space="preserve"> which had been used to obtain the planning permission</w:t>
      </w:r>
      <w:r w:rsidRPr="002D78EB">
        <w:rPr>
          <w:rFonts w:ascii="Times New Roman" w:hAnsi="Times New Roman" w:cs="Times New Roman"/>
          <w:sz w:val="24"/>
          <w:szCs w:val="24"/>
        </w:rPr>
        <w:t>, so that the claimant could recover the expenses which he had reasonably incurred in getting the plans ready and applying for p</w:t>
      </w:r>
      <w:r w:rsidR="00C83B9B">
        <w:rPr>
          <w:rFonts w:ascii="Times New Roman" w:hAnsi="Times New Roman" w:cs="Times New Roman"/>
          <w:sz w:val="24"/>
          <w:szCs w:val="24"/>
        </w:rPr>
        <w:t xml:space="preserve">lanning permission, plus </w:t>
      </w:r>
      <w:r w:rsidRPr="002D78EB">
        <w:rPr>
          <w:rFonts w:ascii="Times New Roman" w:hAnsi="Times New Roman" w:cs="Times New Roman"/>
          <w:sz w:val="24"/>
          <w:szCs w:val="24"/>
        </w:rPr>
        <w:t xml:space="preserve">interest. </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ab/>
        <w:t xml:space="preserve">Lord Scott’s brief analysis of the common law remedies leaves many questions unanswered. It is easy to place too much weight on a small part of a judgment, which may have been structured as it was to replicate the way the case was argued by counsel. But that would be to dismiss too readily the ratio of a decision of the House of Lords, with which all the other of their Lordships agreed. </w:t>
      </w:r>
      <w:r w:rsidRPr="002D78EB">
        <w:rPr>
          <w:rFonts w:ascii="Times New Roman" w:hAnsi="Times New Roman" w:cs="Times New Roman"/>
          <w:sz w:val="24"/>
          <w:szCs w:val="24"/>
          <w:lang w:val="en"/>
        </w:rPr>
        <w:t xml:space="preserve">Judges in the appellate courts have a responsibility for accuracy of analysis and, crucially, to avoid unnecessary complexity. If the underlying cause of action is </w:t>
      </w:r>
      <w:r w:rsidR="00BE40B4">
        <w:rPr>
          <w:rFonts w:ascii="Times New Roman" w:hAnsi="Times New Roman" w:cs="Times New Roman"/>
          <w:sz w:val="24"/>
          <w:szCs w:val="24"/>
          <w:lang w:val="en"/>
        </w:rPr>
        <w:t xml:space="preserve">not understood by counsel, </w:t>
      </w:r>
      <w:r w:rsidRPr="002D78EB">
        <w:rPr>
          <w:rFonts w:ascii="Times New Roman" w:hAnsi="Times New Roman" w:cs="Times New Roman"/>
          <w:sz w:val="24"/>
          <w:szCs w:val="24"/>
          <w:lang w:val="en"/>
        </w:rPr>
        <w:t xml:space="preserve">the judge needs to explain clearly why they have got it wrong. Judges, especially in appellate courts, do not just decide the case before them; they clarify and </w:t>
      </w:r>
      <w:proofErr w:type="spellStart"/>
      <w:r w:rsidRPr="002D78EB">
        <w:rPr>
          <w:rFonts w:ascii="Times New Roman" w:hAnsi="Times New Roman" w:cs="Times New Roman"/>
          <w:sz w:val="24"/>
          <w:szCs w:val="24"/>
          <w:lang w:val="en"/>
        </w:rPr>
        <w:t>rationalise</w:t>
      </w:r>
      <w:proofErr w:type="spellEnd"/>
      <w:r w:rsidRPr="002D78EB">
        <w:rPr>
          <w:rFonts w:ascii="Times New Roman" w:hAnsi="Times New Roman" w:cs="Times New Roman"/>
          <w:sz w:val="24"/>
          <w:szCs w:val="24"/>
          <w:lang w:val="en"/>
        </w:rPr>
        <w:t xml:space="preserve"> the law for the benefit of those who do not or cannot go to court.</w:t>
      </w:r>
    </w:p>
    <w:p w:rsidR="00200630" w:rsidRPr="00936126" w:rsidRDefault="00200630" w:rsidP="00FA71E5">
      <w:pPr>
        <w:ind w:firstLine="720"/>
        <w:rPr>
          <w:rFonts w:ascii="Times New Roman" w:hAnsi="Times New Roman" w:cs="Times New Roman"/>
          <w:sz w:val="24"/>
          <w:szCs w:val="24"/>
          <w:lang w:val="en"/>
        </w:rPr>
      </w:pPr>
      <w:r w:rsidRPr="002D78EB">
        <w:rPr>
          <w:rFonts w:ascii="Times New Roman" w:hAnsi="Times New Roman" w:cs="Times New Roman"/>
          <w:sz w:val="24"/>
          <w:szCs w:val="24"/>
        </w:rPr>
        <w:t xml:space="preserve">Further, although Lord Scott did acknowledge that the amount of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did represent the extent of the defendant’s unjust enrichment and that it was co-extensive with the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xml:space="preserve"> remedy, this might simply be an acknowledgme</w:t>
      </w:r>
      <w:r w:rsidR="00BE40B4">
        <w:rPr>
          <w:rFonts w:ascii="Times New Roman" w:hAnsi="Times New Roman" w:cs="Times New Roman"/>
          <w:sz w:val="24"/>
          <w:szCs w:val="24"/>
        </w:rPr>
        <w:t>nt that it is a gain-based claim</w:t>
      </w:r>
      <w:r w:rsidRPr="002D78EB">
        <w:rPr>
          <w:rFonts w:ascii="Times New Roman" w:hAnsi="Times New Roman" w:cs="Times New Roman"/>
          <w:sz w:val="24"/>
          <w:szCs w:val="24"/>
        </w:rPr>
        <w:t xml:space="preserve">. He did describe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as a remedy, but he also described unjust enrichment and failure of consideration in the same way, neither of which can be described as remedial in any meaningful sense. All of this is very confused, especially when the orthodox analysis of the law of unjust enrichment would suggest that Lord Scott had divided a single claim into three parts. For </w:t>
      </w:r>
      <w:r w:rsidR="00C83B9B">
        <w:rPr>
          <w:rFonts w:ascii="Times New Roman" w:hAnsi="Times New Roman" w:cs="Times New Roman"/>
          <w:sz w:val="24"/>
          <w:szCs w:val="24"/>
        </w:rPr>
        <w:t xml:space="preserve">the preferable analysis of the claim, consistent with the orthodox interpretation of the law of unjust enrichment, is that the underlying claim was grounded on unjust enrichment, with the relevant ground of restitution being total failure of basis, </w:t>
      </w:r>
      <w:r w:rsidRPr="002D78EB">
        <w:rPr>
          <w:rFonts w:ascii="Times New Roman" w:hAnsi="Times New Roman" w:cs="Times New Roman"/>
          <w:sz w:val="24"/>
          <w:szCs w:val="24"/>
        </w:rPr>
        <w:t xml:space="preserve">since the claimant did not receive what he had expected following the grant of planning permission. The remedy would be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since it would be assessed with reference to the defendant’s gain, and, since the enrichment involved services, the appropriate measure of the gain would be the reasonable value of th</w:t>
      </w:r>
      <w:r w:rsidR="00C83B9B">
        <w:rPr>
          <w:rFonts w:ascii="Times New Roman" w:hAnsi="Times New Roman" w:cs="Times New Roman"/>
          <w:sz w:val="24"/>
          <w:szCs w:val="24"/>
        </w:rPr>
        <w:t>ose</w:t>
      </w:r>
      <w:r w:rsidRPr="002D78EB">
        <w:rPr>
          <w:rFonts w:ascii="Times New Roman" w:hAnsi="Times New Roman" w:cs="Times New Roman"/>
          <w:sz w:val="24"/>
          <w:szCs w:val="24"/>
        </w:rPr>
        <w:t xml:space="preserve"> services: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w:t>
      </w:r>
      <w:r w:rsidR="00280131" w:rsidRPr="002D78EB">
        <w:rPr>
          <w:rFonts w:ascii="Times New Roman" w:hAnsi="Times New Roman" w:cs="Times New Roman"/>
          <w:sz w:val="24"/>
          <w:szCs w:val="24"/>
          <w:lang w:val="en"/>
        </w:rPr>
        <w:t xml:space="preserve">That the claimant could obtain a personal </w:t>
      </w:r>
      <w:proofErr w:type="spellStart"/>
      <w:r w:rsidR="00280131" w:rsidRPr="002D78EB">
        <w:rPr>
          <w:rFonts w:ascii="Times New Roman" w:hAnsi="Times New Roman" w:cs="Times New Roman"/>
          <w:sz w:val="24"/>
          <w:szCs w:val="24"/>
          <w:lang w:val="en"/>
        </w:rPr>
        <w:t>restitutionary</w:t>
      </w:r>
      <w:proofErr w:type="spellEnd"/>
      <w:r w:rsidR="00280131" w:rsidRPr="002D78EB">
        <w:rPr>
          <w:rFonts w:ascii="Times New Roman" w:hAnsi="Times New Roman" w:cs="Times New Roman"/>
          <w:sz w:val="24"/>
          <w:szCs w:val="24"/>
          <w:lang w:val="en"/>
        </w:rPr>
        <w:t xml:space="preserve"> remedy in these circumstances was not controversial; that the claimant had three distinct ways to obtain this is. Lord Scott was simply describing one claim but from three different perspectives: the underlying </w:t>
      </w:r>
      <w:r w:rsidR="00BE40B4">
        <w:rPr>
          <w:rFonts w:ascii="Times New Roman" w:hAnsi="Times New Roman" w:cs="Times New Roman"/>
          <w:sz w:val="24"/>
          <w:szCs w:val="24"/>
          <w:lang w:val="en"/>
        </w:rPr>
        <w:t>cause of action, the ground of restitution and the remedy.</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ab/>
        <w:t>But the House of Lords did not adopt this orthodox analysis. T</w:t>
      </w:r>
      <w:r w:rsidR="00C83B9B">
        <w:rPr>
          <w:rFonts w:ascii="Times New Roman" w:hAnsi="Times New Roman" w:cs="Times New Roman"/>
          <w:sz w:val="24"/>
          <w:szCs w:val="24"/>
        </w:rPr>
        <w:t>he unified claim was broken up</w:t>
      </w:r>
      <w:r w:rsidRPr="002D78EB">
        <w:rPr>
          <w:rFonts w:ascii="Times New Roman" w:hAnsi="Times New Roman" w:cs="Times New Roman"/>
          <w:sz w:val="24"/>
          <w:szCs w:val="24"/>
        </w:rPr>
        <w:t xml:space="preserve"> so that three distinct common law ‘remedies’ were available. This cannot be simply dismissed as </w:t>
      </w:r>
      <w:r w:rsidRPr="002D78EB">
        <w:rPr>
          <w:rFonts w:ascii="Times New Roman" w:hAnsi="Times New Roman" w:cs="Times New Roman"/>
          <w:i/>
          <w:sz w:val="24"/>
          <w:szCs w:val="24"/>
        </w:rPr>
        <w:t>obiter dicta</w:t>
      </w:r>
      <w:r w:rsidRPr="002D78EB">
        <w:rPr>
          <w:rFonts w:ascii="Times New Roman" w:hAnsi="Times New Roman" w:cs="Times New Roman"/>
          <w:sz w:val="24"/>
          <w:szCs w:val="24"/>
        </w:rPr>
        <w:t xml:space="preserve">; this is what the case decided.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consequently has an existence independent of unjust enrichment and restitution, albeit perhaps co-extensive with both of these so-called ‘remedies’. And this conclusion cannot simply be dismissed by arguing that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as a form of action was abolished in 1852. It does not follow that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cannot have any independent existence as a cause of action subsequently. The law has moved on since 1852 and new causes of action can be created; the recognition of the law of unjust enrichment is testament to that. </w:t>
      </w:r>
    </w:p>
    <w:p w:rsidR="00280131"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ab/>
        <w:t xml:space="preserve">It follows that </w:t>
      </w:r>
      <w:r w:rsidRPr="002D78EB">
        <w:rPr>
          <w:rFonts w:ascii="Times New Roman" w:hAnsi="Times New Roman" w:cs="Times New Roman"/>
          <w:i/>
          <w:sz w:val="24"/>
          <w:szCs w:val="24"/>
        </w:rPr>
        <w:t xml:space="preserve">Yeoman’s Row v </w:t>
      </w:r>
      <w:proofErr w:type="spellStart"/>
      <w:r w:rsidRPr="002D78EB">
        <w:rPr>
          <w:rFonts w:ascii="Times New Roman" w:hAnsi="Times New Roman" w:cs="Times New Roman"/>
          <w:i/>
          <w:sz w:val="24"/>
          <w:szCs w:val="24"/>
        </w:rPr>
        <w:t>Cobbe</w:t>
      </w:r>
      <w:proofErr w:type="spellEnd"/>
      <w:r w:rsidR="00C83B9B">
        <w:rPr>
          <w:rFonts w:ascii="Times New Roman" w:hAnsi="Times New Roman" w:cs="Times New Roman"/>
          <w:sz w:val="24"/>
          <w:szCs w:val="24"/>
        </w:rPr>
        <w:t xml:space="preserve"> can be interpreted</w:t>
      </w:r>
      <w:r w:rsidRPr="002D78EB">
        <w:rPr>
          <w:rFonts w:ascii="Times New Roman" w:hAnsi="Times New Roman" w:cs="Times New Roman"/>
          <w:sz w:val="24"/>
          <w:szCs w:val="24"/>
        </w:rPr>
        <w:t xml:space="preserve"> as authority for the recognition of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as a cause of action</w:t>
      </w:r>
      <w:r w:rsidR="00C83B9B">
        <w:rPr>
          <w:rFonts w:ascii="Times New Roman" w:hAnsi="Times New Roman" w:cs="Times New Roman"/>
          <w:sz w:val="24"/>
          <w:szCs w:val="24"/>
        </w:rPr>
        <w:t xml:space="preserve"> creating a right in the party who provides the service</w:t>
      </w:r>
      <w:r w:rsidRPr="002D78EB">
        <w:rPr>
          <w:rFonts w:ascii="Times New Roman" w:hAnsi="Times New Roman" w:cs="Times New Roman"/>
          <w:sz w:val="24"/>
          <w:szCs w:val="24"/>
        </w:rPr>
        <w:t xml:space="preserve">. The key question then is whether this can be analysed in terms of unjust enrichment in all cases and, if not, what the components of a claim in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might be</w:t>
      </w:r>
      <w:r w:rsidR="00BE40B4">
        <w:rPr>
          <w:rFonts w:ascii="Times New Roman" w:hAnsi="Times New Roman" w:cs="Times New Roman"/>
          <w:sz w:val="24"/>
          <w:szCs w:val="24"/>
        </w:rPr>
        <w:t xml:space="preserve"> to distinguish it from unjust enrichment</w:t>
      </w:r>
      <w:r w:rsidRPr="002D78EB">
        <w:rPr>
          <w:rFonts w:ascii="Times New Roman" w:hAnsi="Times New Roman" w:cs="Times New Roman"/>
          <w:sz w:val="24"/>
          <w:szCs w:val="24"/>
        </w:rPr>
        <w:t>.</w:t>
      </w:r>
    </w:p>
    <w:p w:rsidR="00200630" w:rsidRPr="00C83B9B" w:rsidRDefault="00200630" w:rsidP="00DF283F">
      <w:pPr>
        <w:rPr>
          <w:rFonts w:ascii="Times New Roman" w:hAnsi="Times New Roman" w:cs="Times New Roman"/>
          <w:b/>
          <w:sz w:val="24"/>
          <w:szCs w:val="24"/>
        </w:rPr>
      </w:pPr>
      <w:r w:rsidRPr="002D78EB">
        <w:rPr>
          <w:rFonts w:ascii="Times New Roman" w:hAnsi="Times New Roman" w:cs="Times New Roman"/>
          <w:b/>
          <w:sz w:val="24"/>
          <w:szCs w:val="24"/>
        </w:rPr>
        <w:t>3.</w:t>
      </w:r>
      <w:r w:rsidRPr="002D78EB">
        <w:rPr>
          <w:rFonts w:ascii="Times New Roman" w:hAnsi="Times New Roman" w:cs="Times New Roman"/>
          <w:b/>
          <w:sz w:val="24"/>
          <w:szCs w:val="24"/>
        </w:rPr>
        <w:tab/>
        <w:t xml:space="preserve">The rationale of </w:t>
      </w:r>
      <w:r w:rsidRPr="002D78EB">
        <w:rPr>
          <w:rFonts w:ascii="Times New Roman" w:hAnsi="Times New Roman" w:cs="Times New Roman"/>
          <w:b/>
          <w:i/>
          <w:sz w:val="24"/>
          <w:szCs w:val="24"/>
        </w:rPr>
        <w:t xml:space="preserve">quantum </w:t>
      </w:r>
      <w:proofErr w:type="spellStart"/>
      <w:r w:rsidRPr="002D78EB">
        <w:rPr>
          <w:rFonts w:ascii="Times New Roman" w:hAnsi="Times New Roman" w:cs="Times New Roman"/>
          <w:b/>
          <w:i/>
          <w:sz w:val="24"/>
          <w:szCs w:val="24"/>
        </w:rPr>
        <w:t>meruit</w:t>
      </w:r>
      <w:proofErr w:type="spellEnd"/>
      <w:r w:rsidRPr="002D78EB">
        <w:rPr>
          <w:rFonts w:ascii="Times New Roman" w:hAnsi="Times New Roman" w:cs="Times New Roman"/>
          <w:b/>
          <w:sz w:val="24"/>
          <w:szCs w:val="24"/>
        </w:rPr>
        <w:t xml:space="preserve"> as a claim</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 xml:space="preserve">Following the decision of the House of Lords in </w:t>
      </w:r>
      <w:r w:rsidRPr="002D78EB">
        <w:rPr>
          <w:rFonts w:ascii="Times New Roman" w:hAnsi="Times New Roman" w:cs="Times New Roman"/>
          <w:i/>
          <w:sz w:val="24"/>
          <w:szCs w:val="24"/>
        </w:rPr>
        <w:t>Yeoman’s Row</w:t>
      </w:r>
      <w:r w:rsidRPr="002D78EB">
        <w:rPr>
          <w:rFonts w:ascii="Times New Roman" w:hAnsi="Times New Roman" w:cs="Times New Roman"/>
          <w:sz w:val="24"/>
          <w:szCs w:val="24"/>
        </w:rPr>
        <w:t xml:space="preserve"> it remains a matter of particular controversy as to what the underlying rationale of the claim in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might be. Four o</w:t>
      </w:r>
      <w:r w:rsidR="00BE40B4">
        <w:rPr>
          <w:rFonts w:ascii="Times New Roman" w:hAnsi="Times New Roman" w:cs="Times New Roman"/>
          <w:sz w:val="24"/>
          <w:szCs w:val="24"/>
        </w:rPr>
        <w:t>ptions can be identified:</w:t>
      </w:r>
      <w:r w:rsidRPr="002D78EB">
        <w:rPr>
          <w:rFonts w:ascii="Times New Roman" w:hAnsi="Times New Roman" w:cs="Times New Roman"/>
          <w:sz w:val="24"/>
          <w:szCs w:val="24"/>
        </w:rPr>
        <w:t xml:space="preserve"> contract, </w:t>
      </w:r>
      <w:r w:rsidR="00BE40B4">
        <w:rPr>
          <w:rFonts w:ascii="Times New Roman" w:hAnsi="Times New Roman" w:cs="Times New Roman"/>
          <w:sz w:val="24"/>
          <w:szCs w:val="24"/>
        </w:rPr>
        <w:t xml:space="preserve">unjust enrichment, </w:t>
      </w:r>
      <w:proofErr w:type="spellStart"/>
      <w:r w:rsidR="00BE40B4">
        <w:rPr>
          <w:rFonts w:ascii="Times New Roman" w:hAnsi="Times New Roman" w:cs="Times New Roman"/>
          <w:sz w:val="24"/>
          <w:szCs w:val="24"/>
        </w:rPr>
        <w:t>unconscionability</w:t>
      </w:r>
      <w:proofErr w:type="spellEnd"/>
      <w:r w:rsidR="00BE40B4">
        <w:rPr>
          <w:rFonts w:ascii="Times New Roman" w:hAnsi="Times New Roman" w:cs="Times New Roman"/>
          <w:sz w:val="24"/>
          <w:szCs w:val="24"/>
        </w:rPr>
        <w:t xml:space="preserve"> and </w:t>
      </w:r>
      <w:r w:rsidRPr="002D78EB">
        <w:rPr>
          <w:rFonts w:ascii="Times New Roman" w:hAnsi="Times New Roman" w:cs="Times New Roman"/>
          <w:sz w:val="24"/>
          <w:szCs w:val="24"/>
        </w:rPr>
        <w:t xml:space="preserve">reliance. </w:t>
      </w:r>
    </w:p>
    <w:p w:rsidR="00200630" w:rsidRDefault="00200630" w:rsidP="00DF283F">
      <w:pPr>
        <w:rPr>
          <w:rFonts w:ascii="Times New Roman" w:hAnsi="Times New Roman" w:cs="Times New Roman"/>
          <w:i/>
          <w:sz w:val="24"/>
          <w:szCs w:val="24"/>
        </w:rPr>
      </w:pPr>
      <w:r w:rsidRPr="002D78EB">
        <w:rPr>
          <w:rFonts w:ascii="Times New Roman" w:hAnsi="Times New Roman" w:cs="Times New Roman"/>
          <w:i/>
          <w:sz w:val="24"/>
          <w:szCs w:val="24"/>
        </w:rPr>
        <w:t>(a) Contract</w:t>
      </w:r>
    </w:p>
    <w:p w:rsidR="00200630" w:rsidRPr="001036BE"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English</w:t>
      </w:r>
      <w:r w:rsidR="001036BE">
        <w:rPr>
          <w:rFonts w:ascii="Times New Roman" w:hAnsi="Times New Roman" w:cs="Times New Roman"/>
          <w:sz w:val="24"/>
          <w:szCs w:val="24"/>
        </w:rPr>
        <w:t xml:space="preserve"> law has </w:t>
      </w:r>
      <w:r w:rsidRPr="002D78EB">
        <w:rPr>
          <w:rFonts w:ascii="Times New Roman" w:hAnsi="Times New Roman" w:cs="Times New Roman"/>
          <w:sz w:val="24"/>
          <w:szCs w:val="24"/>
        </w:rPr>
        <w:t>been hostile to claims for services rendered or work done in the absence of a contract between the parties.</w:t>
      </w:r>
      <w:r w:rsidRPr="002D78EB">
        <w:rPr>
          <w:rStyle w:val="FootnoteReference"/>
          <w:rFonts w:ascii="Times New Roman" w:hAnsi="Times New Roman" w:cs="Times New Roman"/>
          <w:sz w:val="24"/>
          <w:szCs w:val="24"/>
        </w:rPr>
        <w:footnoteReference w:id="13"/>
      </w:r>
      <w:r w:rsidRPr="002D78EB">
        <w:rPr>
          <w:rFonts w:ascii="Times New Roman" w:hAnsi="Times New Roman" w:cs="Times New Roman"/>
          <w:sz w:val="24"/>
          <w:szCs w:val="24"/>
        </w:rPr>
        <w:t xml:space="preserve"> </w:t>
      </w:r>
      <w:r w:rsidR="001036BE">
        <w:rPr>
          <w:rFonts w:ascii="Times New Roman" w:hAnsi="Times New Roman" w:cs="Times New Roman"/>
          <w:sz w:val="24"/>
          <w:szCs w:val="24"/>
        </w:rPr>
        <w:t>N</w:t>
      </w:r>
      <w:r w:rsidRPr="002D78EB">
        <w:rPr>
          <w:rFonts w:ascii="Times New Roman" w:hAnsi="Times New Roman" w:cs="Times New Roman"/>
          <w:sz w:val="24"/>
          <w:szCs w:val="24"/>
        </w:rPr>
        <w:t xml:space="preserve">o </w:t>
      </w:r>
      <w:r w:rsidR="00DF283F">
        <w:rPr>
          <w:rFonts w:ascii="Times New Roman" w:hAnsi="Times New Roman" w:cs="Times New Roman"/>
          <w:sz w:val="24"/>
          <w:szCs w:val="24"/>
        </w:rPr>
        <w:t xml:space="preserve">contractual </w:t>
      </w:r>
      <w:r w:rsidRPr="002D78EB">
        <w:rPr>
          <w:rFonts w:ascii="Times New Roman" w:hAnsi="Times New Roman" w:cs="Times New Roman"/>
          <w:sz w:val="24"/>
          <w:szCs w:val="24"/>
        </w:rPr>
        <w:t xml:space="preserve">obligation </w:t>
      </w:r>
      <w:r w:rsidR="00DF283F">
        <w:rPr>
          <w:rFonts w:ascii="Times New Roman" w:hAnsi="Times New Roman" w:cs="Times New Roman"/>
          <w:sz w:val="24"/>
          <w:szCs w:val="24"/>
        </w:rPr>
        <w:t>should be considered to have arisen</w:t>
      </w:r>
      <w:r w:rsidRPr="002D78EB">
        <w:rPr>
          <w:rFonts w:ascii="Times New Roman" w:hAnsi="Times New Roman" w:cs="Times New Roman"/>
          <w:sz w:val="24"/>
          <w:szCs w:val="24"/>
        </w:rPr>
        <w:t xml:space="preserve"> unless there is an express or implied request from the defendant to the claimant for the work to be done or the services to be rendered. The significance of the contract </w:t>
      </w:r>
      <w:r w:rsidR="001036BE">
        <w:rPr>
          <w:rFonts w:ascii="Times New Roman" w:hAnsi="Times New Roman" w:cs="Times New Roman"/>
          <w:sz w:val="24"/>
          <w:szCs w:val="24"/>
        </w:rPr>
        <w:t xml:space="preserve">for claims for services was recognised </w:t>
      </w:r>
      <w:r w:rsidRPr="002D78EB">
        <w:rPr>
          <w:rFonts w:ascii="Times New Roman" w:hAnsi="Times New Roman" w:cs="Times New Roman"/>
          <w:sz w:val="24"/>
          <w:szCs w:val="24"/>
        </w:rPr>
        <w:t xml:space="preserve">by the Supreme Court in </w:t>
      </w:r>
      <w:r w:rsidRPr="002D78EB">
        <w:rPr>
          <w:rFonts w:ascii="Times New Roman" w:hAnsi="Times New Roman" w:cs="Times New Roman"/>
          <w:i/>
          <w:sz w:val="24"/>
          <w:szCs w:val="24"/>
        </w:rPr>
        <w:t xml:space="preserve">RTS Flexible Systems Ltd v </w:t>
      </w:r>
      <w:proofErr w:type="spellStart"/>
      <w:r w:rsidRPr="002D78EB">
        <w:rPr>
          <w:rFonts w:ascii="Times New Roman" w:hAnsi="Times New Roman" w:cs="Times New Roman"/>
          <w:i/>
          <w:sz w:val="24"/>
          <w:szCs w:val="24"/>
        </w:rPr>
        <w:t>Molkerai</w:t>
      </w:r>
      <w:proofErr w:type="spellEnd"/>
      <w:r w:rsidRPr="002D78EB">
        <w:rPr>
          <w:rFonts w:ascii="Times New Roman" w:hAnsi="Times New Roman" w:cs="Times New Roman"/>
          <w:i/>
          <w:sz w:val="24"/>
          <w:szCs w:val="24"/>
        </w:rPr>
        <w:t xml:space="preserve"> </w:t>
      </w:r>
      <w:proofErr w:type="spellStart"/>
      <w:r w:rsidRPr="002D78EB">
        <w:rPr>
          <w:rFonts w:ascii="Times New Roman" w:hAnsi="Times New Roman" w:cs="Times New Roman"/>
          <w:i/>
          <w:sz w:val="24"/>
          <w:szCs w:val="24"/>
        </w:rPr>
        <w:t>Alois</w:t>
      </w:r>
      <w:proofErr w:type="spellEnd"/>
      <w:r w:rsidRPr="002D78EB">
        <w:rPr>
          <w:rFonts w:ascii="Times New Roman" w:hAnsi="Times New Roman" w:cs="Times New Roman"/>
          <w:i/>
          <w:sz w:val="24"/>
          <w:szCs w:val="24"/>
        </w:rPr>
        <w:t xml:space="preserve"> Müller </w:t>
      </w:r>
      <w:proofErr w:type="spellStart"/>
      <w:r w:rsidRPr="002D78EB">
        <w:rPr>
          <w:rFonts w:ascii="Times New Roman" w:hAnsi="Times New Roman" w:cs="Times New Roman"/>
          <w:i/>
          <w:sz w:val="24"/>
          <w:szCs w:val="24"/>
        </w:rPr>
        <w:t>Gmbh</w:t>
      </w:r>
      <w:proofErr w:type="spellEnd"/>
      <w:r w:rsidRPr="002D78EB">
        <w:rPr>
          <w:rFonts w:ascii="Times New Roman" w:hAnsi="Times New Roman" w:cs="Times New Roman"/>
          <w:i/>
          <w:sz w:val="24"/>
          <w:szCs w:val="24"/>
        </w:rPr>
        <w:t>.</w:t>
      </w:r>
      <w:r w:rsidRPr="002D78EB">
        <w:rPr>
          <w:rStyle w:val="FootnoteReference"/>
          <w:rFonts w:ascii="Times New Roman" w:hAnsi="Times New Roman" w:cs="Times New Roman"/>
          <w:sz w:val="24"/>
          <w:szCs w:val="24"/>
        </w:rPr>
        <w:footnoteReference w:id="14"/>
      </w:r>
      <w:r w:rsidRPr="002D78EB">
        <w:rPr>
          <w:rFonts w:ascii="Times New Roman" w:hAnsi="Times New Roman" w:cs="Times New Roman"/>
          <w:sz w:val="24"/>
          <w:szCs w:val="24"/>
        </w:rPr>
        <w:t xml:space="preserve"> In that case the parties started to perform whilst they were still negotiating a contract. Before any contract had been signed or executed the defend</w:t>
      </w:r>
      <w:r w:rsidR="001036BE">
        <w:rPr>
          <w:rFonts w:ascii="Times New Roman" w:hAnsi="Times New Roman" w:cs="Times New Roman"/>
          <w:sz w:val="24"/>
          <w:szCs w:val="24"/>
        </w:rPr>
        <w:t>ant had paid to the claimant 70% of the money which would have been</w:t>
      </w:r>
      <w:r w:rsidRPr="002D78EB">
        <w:rPr>
          <w:rFonts w:ascii="Times New Roman" w:hAnsi="Times New Roman" w:cs="Times New Roman"/>
          <w:sz w:val="24"/>
          <w:szCs w:val="24"/>
        </w:rPr>
        <w:t xml:space="preserve"> due </w:t>
      </w:r>
      <w:r w:rsidR="001036BE">
        <w:rPr>
          <w:rFonts w:ascii="Times New Roman" w:hAnsi="Times New Roman" w:cs="Times New Roman"/>
          <w:sz w:val="24"/>
          <w:szCs w:val="24"/>
        </w:rPr>
        <w:t xml:space="preserve">under the contract had it been finalised </w:t>
      </w:r>
      <w:r w:rsidRPr="002D78EB">
        <w:rPr>
          <w:rFonts w:ascii="Times New Roman" w:hAnsi="Times New Roman" w:cs="Times New Roman"/>
          <w:sz w:val="24"/>
          <w:szCs w:val="24"/>
        </w:rPr>
        <w:t>for the work it had done. The defendant refused to pay the balance because of an alleged failure to comply with the agreed specification. It was held that there was sufficient evidence of an intention to create legal relations, including that there had been performance pursuant to the putative contract. It followed that the</w:t>
      </w:r>
      <w:r w:rsidR="00DF283F">
        <w:rPr>
          <w:rFonts w:ascii="Times New Roman" w:hAnsi="Times New Roman" w:cs="Times New Roman"/>
          <w:sz w:val="24"/>
          <w:szCs w:val="24"/>
        </w:rPr>
        <w:t xml:space="preserve"> </w:t>
      </w:r>
      <w:r w:rsidRPr="002D78EB">
        <w:rPr>
          <w:rFonts w:ascii="Times New Roman" w:hAnsi="Times New Roman" w:cs="Times New Roman"/>
          <w:sz w:val="24"/>
          <w:szCs w:val="24"/>
        </w:rPr>
        <w:t xml:space="preserve">contract governed their relationship and there was no need to consider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i/>
          <w:sz w:val="24"/>
          <w:szCs w:val="24"/>
        </w:rPr>
        <w:t>.</w:t>
      </w:r>
    </w:p>
    <w:p w:rsidR="00BE40B4" w:rsidRDefault="00200630" w:rsidP="00BE40B4">
      <w:pPr>
        <w:pStyle w:val="h8f"/>
        <w:spacing w:before="221" w:line="276" w:lineRule="auto"/>
        <w:ind w:firstLine="422"/>
        <w:rPr>
          <w:rFonts w:ascii="Times New Roman" w:hAnsi="Times New Roman" w:cs="Times New Roman"/>
        </w:rPr>
      </w:pPr>
      <w:r w:rsidRPr="002D78EB">
        <w:rPr>
          <w:rFonts w:ascii="Times New Roman" w:hAnsi="Times New Roman" w:cs="Times New Roman"/>
          <w:i/>
        </w:rPr>
        <w:tab/>
      </w:r>
      <w:r w:rsidRPr="002D78EB">
        <w:rPr>
          <w:rFonts w:ascii="Times New Roman" w:hAnsi="Times New Roman" w:cs="Times New Roman"/>
        </w:rPr>
        <w:t>The implications of this decision are significant, since it suggests a greater willingness to recognise</w:t>
      </w:r>
      <w:r w:rsidR="00BE40B4">
        <w:rPr>
          <w:rFonts w:ascii="Times New Roman" w:hAnsi="Times New Roman" w:cs="Times New Roman"/>
        </w:rPr>
        <w:t xml:space="preserve"> a contract, so that there is much reduced</w:t>
      </w:r>
      <w:r w:rsidRPr="002D78EB">
        <w:rPr>
          <w:rFonts w:ascii="Times New Roman" w:hAnsi="Times New Roman" w:cs="Times New Roman"/>
        </w:rPr>
        <w:t xml:space="preserve"> scope to consider an independent claim in </w:t>
      </w:r>
      <w:r w:rsidRPr="002D78EB">
        <w:rPr>
          <w:rFonts w:ascii="Times New Roman" w:hAnsi="Times New Roman" w:cs="Times New Roman"/>
          <w:i/>
        </w:rPr>
        <w:t xml:space="preserve">quantum </w:t>
      </w:r>
      <w:proofErr w:type="spellStart"/>
      <w:r w:rsidRPr="002D78EB">
        <w:rPr>
          <w:rFonts w:ascii="Times New Roman" w:hAnsi="Times New Roman" w:cs="Times New Roman"/>
          <w:i/>
        </w:rPr>
        <w:t>meruit</w:t>
      </w:r>
      <w:proofErr w:type="spellEnd"/>
      <w:r w:rsidRPr="002D78EB">
        <w:rPr>
          <w:rFonts w:ascii="Times New Roman" w:hAnsi="Times New Roman" w:cs="Times New Roman"/>
        </w:rPr>
        <w:t xml:space="preserve">. For, as Tindal CJ recognised in </w:t>
      </w:r>
      <w:proofErr w:type="spellStart"/>
      <w:r w:rsidRPr="002D78EB">
        <w:rPr>
          <w:rFonts w:ascii="Times New Roman" w:hAnsi="Times New Roman" w:cs="Times New Roman"/>
          <w:i/>
          <w:iCs/>
        </w:rPr>
        <w:t>Planché</w:t>
      </w:r>
      <w:proofErr w:type="spellEnd"/>
      <w:r w:rsidRPr="002D78EB">
        <w:rPr>
          <w:rFonts w:ascii="Times New Roman" w:hAnsi="Times New Roman" w:cs="Times New Roman"/>
          <w:i/>
          <w:iCs/>
        </w:rPr>
        <w:t xml:space="preserve"> v Colburn</w:t>
      </w:r>
      <w:r w:rsidRPr="002D78EB">
        <w:rPr>
          <w:rStyle w:val="FootnoteReference"/>
          <w:rFonts w:ascii="Times New Roman" w:hAnsi="Times New Roman" w:cs="Times New Roman"/>
        </w:rPr>
        <w:footnoteReference w:id="15"/>
      </w:r>
      <w:r w:rsidRPr="002D78EB">
        <w:rPr>
          <w:rFonts w:ascii="Times New Roman" w:hAnsi="Times New Roman" w:cs="Times New Roman"/>
          <w:iCs/>
        </w:rPr>
        <w:t xml:space="preserve"> ‘when a special contract is in existence and open, the plaintiff cannot sue on a </w:t>
      </w:r>
      <w:r w:rsidRPr="002D78EB">
        <w:rPr>
          <w:rFonts w:ascii="Times New Roman" w:hAnsi="Times New Roman" w:cs="Times New Roman"/>
          <w:i/>
          <w:iCs/>
        </w:rPr>
        <w:t xml:space="preserve">quantum </w:t>
      </w:r>
      <w:proofErr w:type="spellStart"/>
      <w:r w:rsidRPr="002D78EB">
        <w:rPr>
          <w:rFonts w:ascii="Times New Roman" w:hAnsi="Times New Roman" w:cs="Times New Roman"/>
          <w:i/>
          <w:iCs/>
        </w:rPr>
        <w:t>meruit</w:t>
      </w:r>
      <w:proofErr w:type="spellEnd"/>
      <w:r w:rsidRPr="002D78EB">
        <w:rPr>
          <w:rFonts w:ascii="Times New Roman" w:hAnsi="Times New Roman" w:cs="Times New Roman"/>
          <w:iCs/>
        </w:rPr>
        <w:t>’.</w:t>
      </w:r>
      <w:r w:rsidRPr="002D78EB">
        <w:rPr>
          <w:rStyle w:val="FootnoteReference"/>
          <w:rFonts w:ascii="Times New Roman" w:hAnsi="Times New Roman" w:cs="Times New Roman"/>
          <w:iCs/>
        </w:rPr>
        <w:footnoteReference w:id="16"/>
      </w:r>
      <w:r w:rsidRPr="002D78EB">
        <w:rPr>
          <w:rFonts w:ascii="Times New Roman" w:hAnsi="Times New Roman" w:cs="Times New Roman"/>
          <w:iCs/>
        </w:rPr>
        <w:t xml:space="preserve"> The language of </w:t>
      </w:r>
      <w:r w:rsidRPr="002D78EB">
        <w:rPr>
          <w:rFonts w:ascii="Times New Roman" w:hAnsi="Times New Roman" w:cs="Times New Roman"/>
          <w:i/>
          <w:iCs/>
        </w:rPr>
        <w:t xml:space="preserve">quantum </w:t>
      </w:r>
      <w:proofErr w:type="spellStart"/>
      <w:r w:rsidRPr="002D78EB">
        <w:rPr>
          <w:rFonts w:ascii="Times New Roman" w:hAnsi="Times New Roman" w:cs="Times New Roman"/>
          <w:i/>
          <w:iCs/>
        </w:rPr>
        <w:t>meruit</w:t>
      </w:r>
      <w:proofErr w:type="spellEnd"/>
      <w:r w:rsidRPr="002D78EB">
        <w:rPr>
          <w:rFonts w:ascii="Times New Roman" w:hAnsi="Times New Roman" w:cs="Times New Roman"/>
          <w:iCs/>
        </w:rPr>
        <w:t xml:space="preserve"> is, however, used within the law of contract, where the parties have not agreed </w:t>
      </w:r>
      <w:r w:rsidRPr="002D78EB">
        <w:rPr>
          <w:rFonts w:ascii="Times New Roman" w:hAnsi="Times New Roman" w:cs="Times New Roman"/>
        </w:rPr>
        <w:t xml:space="preserve">a scale of remuneration for services, </w:t>
      </w:r>
      <w:r w:rsidR="001036BE">
        <w:rPr>
          <w:rFonts w:ascii="Times New Roman" w:hAnsi="Times New Roman" w:cs="Times New Roman"/>
        </w:rPr>
        <w:t xml:space="preserve">for </w:t>
      </w:r>
      <w:r w:rsidRPr="002D78EB">
        <w:rPr>
          <w:rFonts w:ascii="Times New Roman" w:hAnsi="Times New Roman" w:cs="Times New Roman"/>
        </w:rPr>
        <w:t xml:space="preserve">then the law will impose an obligation to pay a reasonable sum and </w:t>
      </w:r>
      <w:r w:rsidR="00BE40B4">
        <w:rPr>
          <w:rFonts w:ascii="Times New Roman" w:hAnsi="Times New Roman" w:cs="Times New Roman"/>
        </w:rPr>
        <w:t xml:space="preserve">will </w:t>
      </w:r>
      <w:r w:rsidRPr="002D78EB">
        <w:rPr>
          <w:rFonts w:ascii="Times New Roman" w:hAnsi="Times New Roman" w:cs="Times New Roman"/>
        </w:rPr>
        <w:t xml:space="preserve">call this </w:t>
      </w:r>
      <w:r w:rsidRPr="002D78EB">
        <w:rPr>
          <w:rFonts w:ascii="Times New Roman" w:hAnsi="Times New Roman" w:cs="Times New Roman"/>
          <w:i/>
          <w:iCs/>
        </w:rPr>
        <w:t xml:space="preserve">quantum </w:t>
      </w:r>
      <w:proofErr w:type="spellStart"/>
      <w:r w:rsidRPr="002D78EB">
        <w:rPr>
          <w:rFonts w:ascii="Times New Roman" w:hAnsi="Times New Roman" w:cs="Times New Roman"/>
          <w:i/>
          <w:iCs/>
        </w:rPr>
        <w:t>meruit</w:t>
      </w:r>
      <w:proofErr w:type="spellEnd"/>
      <w:r w:rsidRPr="002D78EB">
        <w:rPr>
          <w:rFonts w:ascii="Times New Roman" w:hAnsi="Times New Roman" w:cs="Times New Roman"/>
        </w:rPr>
        <w:t>.</w:t>
      </w:r>
      <w:r w:rsidRPr="002D78EB">
        <w:rPr>
          <w:rStyle w:val="FootnoteReference"/>
          <w:rFonts w:ascii="Times New Roman" w:hAnsi="Times New Roman" w:cs="Times New Roman"/>
        </w:rPr>
        <w:footnoteReference w:id="17"/>
      </w:r>
      <w:r w:rsidRPr="002D78EB">
        <w:rPr>
          <w:rFonts w:ascii="Times New Roman" w:hAnsi="Times New Roman" w:cs="Times New Roman"/>
        </w:rPr>
        <w:t xml:space="preserve"> Similarly, </w:t>
      </w:r>
      <w:r w:rsidRPr="002D78EB">
        <w:rPr>
          <w:rFonts w:ascii="Times New Roman" w:hAnsi="Times New Roman" w:cs="Times New Roman"/>
          <w:i/>
        </w:rPr>
        <w:t xml:space="preserve">quantum </w:t>
      </w:r>
      <w:proofErr w:type="spellStart"/>
      <w:r w:rsidRPr="002D78EB">
        <w:rPr>
          <w:rFonts w:ascii="Times New Roman" w:hAnsi="Times New Roman" w:cs="Times New Roman"/>
          <w:i/>
        </w:rPr>
        <w:t>meruit</w:t>
      </w:r>
      <w:proofErr w:type="spellEnd"/>
      <w:r w:rsidRPr="002D78EB">
        <w:rPr>
          <w:rFonts w:ascii="Times New Roman" w:hAnsi="Times New Roman" w:cs="Times New Roman"/>
        </w:rPr>
        <w:t xml:space="preserve"> may also be relevant where the parties have acted outside the agreed terms of their bargain. In such circumstances the court may imply a collateral contract for the supply of services such that the defendant is required to pay the reasonable value of the services provided. So, in </w:t>
      </w:r>
      <w:r w:rsidRPr="002D78EB">
        <w:rPr>
          <w:rFonts w:ascii="Times New Roman" w:hAnsi="Times New Roman" w:cs="Times New Roman"/>
          <w:i/>
          <w:iCs/>
        </w:rPr>
        <w:t>Steven v Bromley Son</w:t>
      </w:r>
      <w:r w:rsidRPr="002D78EB">
        <w:rPr>
          <w:rStyle w:val="FootnoteReference"/>
          <w:rFonts w:ascii="Times New Roman" w:hAnsi="Times New Roman" w:cs="Times New Roman"/>
        </w:rPr>
        <w:footnoteReference w:id="18"/>
      </w:r>
      <w:r w:rsidR="00593ACB">
        <w:rPr>
          <w:rFonts w:ascii="Times New Roman" w:hAnsi="Times New Roman" w:cs="Times New Roman"/>
        </w:rPr>
        <w:t xml:space="preserve"> </w:t>
      </w:r>
      <w:proofErr w:type="spellStart"/>
      <w:r w:rsidR="00593ACB">
        <w:rPr>
          <w:rFonts w:ascii="Times New Roman" w:hAnsi="Times New Roman" w:cs="Times New Roman"/>
        </w:rPr>
        <w:t>Bankes</w:t>
      </w:r>
      <w:proofErr w:type="spellEnd"/>
      <w:r w:rsidR="00593ACB">
        <w:rPr>
          <w:rFonts w:ascii="Times New Roman" w:hAnsi="Times New Roman" w:cs="Times New Roman"/>
        </w:rPr>
        <w:t xml:space="preserve"> LJ recognised that: ‘</w:t>
      </w:r>
      <w:r w:rsidRPr="002D78EB">
        <w:rPr>
          <w:rFonts w:ascii="Times New Roman" w:hAnsi="Times New Roman" w:cs="Times New Roman"/>
        </w:rPr>
        <w:t xml:space="preserve">When the charterers tendered a cargo which was outside the </w:t>
      </w:r>
      <w:proofErr w:type="spellStart"/>
      <w:r w:rsidRPr="002D78EB">
        <w:rPr>
          <w:rFonts w:ascii="Times New Roman" w:hAnsi="Times New Roman" w:cs="Times New Roman"/>
        </w:rPr>
        <w:t>charterparty</w:t>
      </w:r>
      <w:proofErr w:type="spellEnd"/>
      <w:r w:rsidRPr="002D78EB">
        <w:rPr>
          <w:rFonts w:ascii="Times New Roman" w:hAnsi="Times New Roman" w:cs="Times New Roman"/>
        </w:rPr>
        <w:t>, and for which no rate of freight had been agreed, the inference is justified that they made an offer to the owners to pay a reasonable freight if the car</w:t>
      </w:r>
      <w:r w:rsidR="00593ACB">
        <w:rPr>
          <w:rFonts w:ascii="Times New Roman" w:hAnsi="Times New Roman" w:cs="Times New Roman"/>
        </w:rPr>
        <w:t>go were accepted for carriage.’</w:t>
      </w:r>
      <w:r w:rsidRPr="002D78EB">
        <w:rPr>
          <w:rFonts w:ascii="Times New Roman" w:hAnsi="Times New Roman" w:cs="Times New Roman"/>
        </w:rPr>
        <w:t xml:space="preserve"> </w:t>
      </w:r>
    </w:p>
    <w:p w:rsidR="00524DE0" w:rsidRPr="00BE40B4" w:rsidRDefault="00524DE0" w:rsidP="00BE40B4">
      <w:pPr>
        <w:pStyle w:val="h8f"/>
        <w:spacing w:before="221" w:line="276" w:lineRule="auto"/>
        <w:ind w:firstLine="422"/>
        <w:rPr>
          <w:rFonts w:ascii="Times New Roman" w:hAnsi="Times New Roman" w:cs="Times New Roman"/>
        </w:rPr>
      </w:pPr>
    </w:p>
    <w:p w:rsidR="00200630" w:rsidRPr="00593ACB" w:rsidRDefault="00BE40B4" w:rsidP="00DF283F">
      <w:pPr>
        <w:rPr>
          <w:rFonts w:ascii="Times New Roman" w:hAnsi="Times New Roman" w:cs="Times New Roman"/>
          <w:sz w:val="24"/>
          <w:szCs w:val="24"/>
        </w:rPr>
      </w:pPr>
      <w:r>
        <w:rPr>
          <w:rFonts w:ascii="Times New Roman" w:hAnsi="Times New Roman" w:cs="Times New Roman"/>
          <w:sz w:val="24"/>
          <w:szCs w:val="24"/>
        </w:rPr>
        <w:tab/>
        <w:t xml:space="preserve">A point may be reached, however, </w:t>
      </w:r>
      <w:r w:rsidR="00200630" w:rsidRPr="002D78EB">
        <w:rPr>
          <w:rFonts w:ascii="Times New Roman" w:hAnsi="Times New Roman" w:cs="Times New Roman"/>
          <w:sz w:val="24"/>
          <w:szCs w:val="24"/>
        </w:rPr>
        <w:t xml:space="preserve">where the court cannot identify an obligation to pay for the reasonable value of services within the law of contract. This is especially the case where services are rendered in anticipation of a contract being made subsequently. In </w:t>
      </w:r>
      <w:r w:rsidR="00593ACB">
        <w:rPr>
          <w:rFonts w:ascii="Times New Roman" w:hAnsi="Times New Roman" w:cs="Times New Roman"/>
          <w:i/>
          <w:sz w:val="24"/>
          <w:szCs w:val="24"/>
        </w:rPr>
        <w:t>British Steel Corp</w:t>
      </w:r>
      <w:r w:rsidR="00200630" w:rsidRPr="002D78EB">
        <w:rPr>
          <w:rFonts w:ascii="Times New Roman" w:hAnsi="Times New Roman" w:cs="Times New Roman"/>
          <w:i/>
          <w:sz w:val="24"/>
          <w:szCs w:val="24"/>
        </w:rPr>
        <w:t xml:space="preserve"> v Cleveland Bridge Engineering Co Ltd</w:t>
      </w:r>
      <w:r w:rsidR="00200630" w:rsidRPr="002D78EB">
        <w:rPr>
          <w:rStyle w:val="FootnoteReference"/>
          <w:rFonts w:ascii="Times New Roman" w:hAnsi="Times New Roman" w:cs="Times New Roman"/>
          <w:sz w:val="24"/>
          <w:szCs w:val="24"/>
        </w:rPr>
        <w:footnoteReference w:id="19"/>
      </w:r>
      <w:r w:rsidR="00200630" w:rsidRPr="002D78EB">
        <w:rPr>
          <w:rFonts w:ascii="Times New Roman" w:hAnsi="Times New Roman" w:cs="Times New Roman"/>
          <w:sz w:val="24"/>
          <w:szCs w:val="24"/>
        </w:rPr>
        <w:t xml:space="preserve"> Robert Goff J recognised that the obligation to pay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i/>
          <w:sz w:val="24"/>
          <w:szCs w:val="24"/>
        </w:rPr>
        <w:t xml:space="preserve"> </w:t>
      </w:r>
      <w:r w:rsidR="00200630" w:rsidRPr="002D78EB">
        <w:rPr>
          <w:rFonts w:ascii="Times New Roman" w:hAnsi="Times New Roman" w:cs="Times New Roman"/>
          <w:sz w:val="24"/>
          <w:szCs w:val="24"/>
        </w:rPr>
        <w:t xml:space="preserve">imposed in such cases </w:t>
      </w:r>
      <w:r w:rsidR="00593ACB">
        <w:rPr>
          <w:rFonts w:ascii="Times New Roman" w:hAnsi="Times New Roman" w:cs="Times New Roman"/>
          <w:sz w:val="24"/>
          <w:szCs w:val="24"/>
        </w:rPr>
        <w:t>sounds in restitution</w:t>
      </w:r>
      <w:r w:rsidR="00200630" w:rsidRPr="002D78EB">
        <w:rPr>
          <w:rFonts w:ascii="Times New Roman" w:hAnsi="Times New Roman" w:cs="Times New Roman"/>
          <w:sz w:val="24"/>
          <w:szCs w:val="24"/>
        </w:rPr>
        <w:t xml:space="preserve"> and not in contract. In many cases whether the claim lies within contract or in the law of unjust enrichment does </w:t>
      </w:r>
      <w:r w:rsidR="00593ACB">
        <w:rPr>
          <w:rFonts w:ascii="Times New Roman" w:hAnsi="Times New Roman" w:cs="Times New Roman"/>
          <w:sz w:val="24"/>
          <w:szCs w:val="24"/>
        </w:rPr>
        <w:t>not matter, since, regardless of how the claim is characterised,</w:t>
      </w:r>
      <w:r w:rsidR="00200630" w:rsidRPr="002D78EB">
        <w:rPr>
          <w:rFonts w:ascii="Times New Roman" w:hAnsi="Times New Roman" w:cs="Times New Roman"/>
          <w:sz w:val="24"/>
          <w:szCs w:val="24"/>
        </w:rPr>
        <w:t xml:space="preserve"> the defendant will be awarded the reasonable value of the service provided. Sometimes it may matter as regards defences, since</w:t>
      </w:r>
      <w:r w:rsidR="00593ACB">
        <w:rPr>
          <w:rFonts w:ascii="Times New Roman" w:hAnsi="Times New Roman" w:cs="Times New Roman"/>
          <w:sz w:val="24"/>
          <w:szCs w:val="24"/>
        </w:rPr>
        <w:t>,</w:t>
      </w:r>
      <w:r>
        <w:rPr>
          <w:rFonts w:ascii="Times New Roman" w:hAnsi="Times New Roman" w:cs="Times New Roman"/>
          <w:sz w:val="24"/>
          <w:szCs w:val="24"/>
        </w:rPr>
        <w:t xml:space="preserve"> if the claim lies</w:t>
      </w:r>
      <w:r w:rsidR="00200630" w:rsidRPr="002D78EB">
        <w:rPr>
          <w:rFonts w:ascii="Times New Roman" w:hAnsi="Times New Roman" w:cs="Times New Roman"/>
          <w:sz w:val="24"/>
          <w:szCs w:val="24"/>
        </w:rPr>
        <w:t xml:space="preserve"> within unjust enrichment the change of position defence would apply and contractual defences, such as for late delivery, would not. The decision whether to analyse the claim as contractual or </w:t>
      </w:r>
      <w:proofErr w:type="spellStart"/>
      <w:r w:rsidR="00200630" w:rsidRPr="002D78EB">
        <w:rPr>
          <w:rFonts w:ascii="Times New Roman" w:hAnsi="Times New Roman" w:cs="Times New Roman"/>
          <w:sz w:val="24"/>
          <w:szCs w:val="24"/>
        </w:rPr>
        <w:t>restitutionary</w:t>
      </w:r>
      <w:proofErr w:type="spellEnd"/>
      <w:r w:rsidR="00200630" w:rsidRPr="002D78EB">
        <w:rPr>
          <w:rFonts w:ascii="Times New Roman" w:hAnsi="Times New Roman" w:cs="Times New Roman"/>
          <w:sz w:val="24"/>
          <w:szCs w:val="24"/>
        </w:rPr>
        <w:t xml:space="preserve"> is illustrated by the so-called ‘if’ contract, whereby one party agrees to pay reasonable remuneration if the other supplies a service. In </w:t>
      </w:r>
      <w:r w:rsidR="00200630" w:rsidRPr="002D78EB">
        <w:rPr>
          <w:rFonts w:ascii="Times New Roman" w:hAnsi="Times New Roman" w:cs="Times New Roman"/>
          <w:i/>
          <w:sz w:val="24"/>
          <w:szCs w:val="24"/>
        </w:rPr>
        <w:t>Whittle Movers Ltd v Hollywood Express Ltd</w:t>
      </w:r>
      <w:r w:rsidR="00200630" w:rsidRPr="002D78EB">
        <w:rPr>
          <w:rFonts w:ascii="Times New Roman" w:hAnsi="Times New Roman" w:cs="Times New Roman"/>
          <w:sz w:val="24"/>
          <w:szCs w:val="24"/>
        </w:rPr>
        <w:t xml:space="preserve"> </w:t>
      </w:r>
      <w:r w:rsidR="00200630" w:rsidRPr="002D78EB">
        <w:rPr>
          <w:rStyle w:val="FootnoteReference"/>
          <w:rFonts w:ascii="Times New Roman" w:hAnsi="Times New Roman" w:cs="Times New Roman"/>
          <w:sz w:val="24"/>
          <w:szCs w:val="24"/>
        </w:rPr>
        <w:footnoteReference w:id="20"/>
      </w:r>
      <w:r w:rsidR="00200630" w:rsidRPr="002D78EB">
        <w:rPr>
          <w:rFonts w:ascii="Times New Roman" w:hAnsi="Times New Roman" w:cs="Times New Roman"/>
          <w:sz w:val="24"/>
          <w:szCs w:val="24"/>
        </w:rPr>
        <w:t xml:space="preserve"> Waller J recognised that there may not be much difference between an ‘if’ contract and a claim in unjust enrichment, although he emphasised that the court should not strain to find a contract where terms are still under negotiation</w:t>
      </w:r>
      <w:r w:rsidR="00593ACB">
        <w:rPr>
          <w:rFonts w:ascii="Times New Roman" w:hAnsi="Times New Roman" w:cs="Times New Roman"/>
          <w:sz w:val="24"/>
          <w:szCs w:val="24"/>
        </w:rPr>
        <w:t>,</w:t>
      </w:r>
      <w:r w:rsidR="00200630" w:rsidRPr="002D78EB">
        <w:rPr>
          <w:rFonts w:ascii="Times New Roman" w:hAnsi="Times New Roman" w:cs="Times New Roman"/>
          <w:sz w:val="24"/>
          <w:szCs w:val="24"/>
        </w:rPr>
        <w:t xml:space="preserve"> because the award of a </w:t>
      </w:r>
      <w:proofErr w:type="spellStart"/>
      <w:r w:rsidR="00200630" w:rsidRPr="002D78EB">
        <w:rPr>
          <w:rFonts w:ascii="Times New Roman" w:hAnsi="Times New Roman" w:cs="Times New Roman"/>
          <w:sz w:val="24"/>
          <w:szCs w:val="24"/>
        </w:rPr>
        <w:t>restitutionary</w:t>
      </w:r>
      <w:proofErr w:type="spellEnd"/>
      <w:r w:rsidR="00200630" w:rsidRPr="002D78EB">
        <w:rPr>
          <w:rFonts w:ascii="Times New Roman" w:hAnsi="Times New Roman" w:cs="Times New Roman"/>
          <w:sz w:val="24"/>
          <w:szCs w:val="24"/>
        </w:rPr>
        <w:t xml:space="preserve"> remedy in unjust enrichment </w:t>
      </w:r>
      <w:r w:rsidR="00593ACB">
        <w:rPr>
          <w:rFonts w:ascii="Times New Roman" w:hAnsi="Times New Roman" w:cs="Times New Roman"/>
          <w:sz w:val="24"/>
          <w:szCs w:val="24"/>
        </w:rPr>
        <w:t>would solve most of the difficulties</w:t>
      </w:r>
      <w:r w:rsidR="00200630" w:rsidRPr="002D78EB">
        <w:rPr>
          <w:rFonts w:ascii="Times New Roman" w:hAnsi="Times New Roman" w:cs="Times New Roman"/>
          <w:sz w:val="24"/>
          <w:szCs w:val="24"/>
        </w:rPr>
        <w:t>. No contract was identified in that case because the parties had accepted that the negotiations were subject to contract and that no binding agreement would come into effect until a formal</w:t>
      </w:r>
      <w:r w:rsidR="00593ACB">
        <w:rPr>
          <w:rFonts w:ascii="Times New Roman" w:hAnsi="Times New Roman" w:cs="Times New Roman"/>
          <w:sz w:val="24"/>
          <w:szCs w:val="24"/>
        </w:rPr>
        <w:t xml:space="preserve"> document was signed. T</w:t>
      </w:r>
      <w:r w:rsidR="00200630" w:rsidRPr="002D78EB">
        <w:rPr>
          <w:rFonts w:ascii="Times New Roman" w:hAnsi="Times New Roman" w:cs="Times New Roman"/>
          <w:sz w:val="24"/>
          <w:szCs w:val="24"/>
        </w:rPr>
        <w:t xml:space="preserve">he </w:t>
      </w:r>
      <w:r w:rsidR="00593ACB">
        <w:rPr>
          <w:rFonts w:ascii="Times New Roman" w:hAnsi="Times New Roman" w:cs="Times New Roman"/>
          <w:sz w:val="24"/>
          <w:szCs w:val="24"/>
        </w:rPr>
        <w:t xml:space="preserve">later </w:t>
      </w:r>
      <w:r w:rsidR="00200630" w:rsidRPr="002D78EB">
        <w:rPr>
          <w:rFonts w:ascii="Times New Roman" w:hAnsi="Times New Roman" w:cs="Times New Roman"/>
          <w:sz w:val="24"/>
          <w:szCs w:val="24"/>
        </w:rPr>
        <w:t xml:space="preserve">decision of the Supreme Court in </w:t>
      </w:r>
      <w:r w:rsidR="00200630" w:rsidRPr="002D78EB">
        <w:rPr>
          <w:rFonts w:ascii="Times New Roman" w:hAnsi="Times New Roman" w:cs="Times New Roman"/>
          <w:i/>
          <w:sz w:val="24"/>
          <w:szCs w:val="24"/>
        </w:rPr>
        <w:t xml:space="preserve">RTS Flexible Systems </w:t>
      </w:r>
      <w:r w:rsidR="00200630" w:rsidRPr="002D78EB">
        <w:rPr>
          <w:rFonts w:ascii="Times New Roman" w:hAnsi="Times New Roman" w:cs="Times New Roman"/>
          <w:sz w:val="24"/>
          <w:szCs w:val="24"/>
        </w:rPr>
        <w:t>suggests a preference for contractual analysis where services have been provided in anticipation of a c</w:t>
      </w:r>
      <w:r w:rsidR="00593ACB">
        <w:rPr>
          <w:rFonts w:ascii="Times New Roman" w:hAnsi="Times New Roman" w:cs="Times New Roman"/>
          <w:sz w:val="24"/>
          <w:szCs w:val="24"/>
        </w:rPr>
        <w:t xml:space="preserve">ontract being made, but there must comes a point, as illustrated by </w:t>
      </w:r>
      <w:r w:rsidR="00593ACB">
        <w:rPr>
          <w:rFonts w:ascii="Times New Roman" w:hAnsi="Times New Roman" w:cs="Times New Roman"/>
          <w:i/>
          <w:sz w:val="24"/>
          <w:szCs w:val="24"/>
        </w:rPr>
        <w:t>Whittle Movers</w:t>
      </w:r>
      <w:r w:rsidR="00593ACB">
        <w:rPr>
          <w:rFonts w:ascii="Times New Roman" w:hAnsi="Times New Roman" w:cs="Times New Roman"/>
          <w:sz w:val="24"/>
          <w:szCs w:val="24"/>
        </w:rPr>
        <w:t>, where the uncertainty of the negotiations makes it impossible to identify a contract.</w:t>
      </w:r>
    </w:p>
    <w:p w:rsidR="00200630" w:rsidRPr="00BE40B4" w:rsidRDefault="00200630" w:rsidP="00BE40B4">
      <w:pPr>
        <w:rPr>
          <w:rFonts w:ascii="Times New Roman" w:hAnsi="Times New Roman" w:cs="Times New Roman"/>
          <w:iCs/>
          <w:sz w:val="24"/>
          <w:szCs w:val="24"/>
        </w:rPr>
      </w:pPr>
      <w:r w:rsidRPr="002D78EB">
        <w:rPr>
          <w:rFonts w:ascii="Times New Roman" w:hAnsi="Times New Roman" w:cs="Times New Roman"/>
          <w:sz w:val="24"/>
          <w:szCs w:val="24"/>
        </w:rPr>
        <w:tab/>
        <w:t xml:space="preserve">The relationship between contract and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is significant in one other respect, which has proved to be especially controversial. Where the claimant has provided a benefit to the defendant pursuant to a contract and the defendant th</w:t>
      </w:r>
      <w:r w:rsidR="00BE40B4">
        <w:rPr>
          <w:rFonts w:ascii="Times New Roman" w:hAnsi="Times New Roman" w:cs="Times New Roman"/>
          <w:sz w:val="24"/>
          <w:szCs w:val="24"/>
        </w:rPr>
        <w:t>en breaches that</w:t>
      </w:r>
      <w:r w:rsidRPr="002D78EB">
        <w:rPr>
          <w:rFonts w:ascii="Times New Roman" w:hAnsi="Times New Roman" w:cs="Times New Roman"/>
          <w:sz w:val="24"/>
          <w:szCs w:val="24"/>
        </w:rPr>
        <w:t xml:space="preserve"> contract, the claimant has a choice whether to sue for breach of contract and seek a compensatory remedy, or sue in the law of unjust enrichment and seek restitution of the benefit transferred</w:t>
      </w:r>
      <w:r w:rsidR="001D3FC2">
        <w:rPr>
          <w:rFonts w:ascii="Times New Roman" w:hAnsi="Times New Roman" w:cs="Times New Roman"/>
          <w:sz w:val="24"/>
          <w:szCs w:val="24"/>
        </w:rPr>
        <w:t>, typically on the ground of total failure of basis</w:t>
      </w:r>
      <w:r w:rsidRPr="002D78EB">
        <w:rPr>
          <w:rFonts w:ascii="Times New Roman" w:hAnsi="Times New Roman" w:cs="Times New Roman"/>
          <w:sz w:val="24"/>
          <w:szCs w:val="24"/>
        </w:rPr>
        <w:t>.</w:t>
      </w:r>
      <w:r w:rsidR="001D3FC2">
        <w:rPr>
          <w:rStyle w:val="FootnoteReference"/>
          <w:rFonts w:ascii="Times New Roman" w:hAnsi="Times New Roman" w:cs="Times New Roman"/>
          <w:sz w:val="24"/>
          <w:szCs w:val="24"/>
        </w:rPr>
        <w:footnoteReference w:id="21"/>
      </w:r>
      <w:r w:rsidRPr="002D78EB">
        <w:rPr>
          <w:rFonts w:ascii="Times New Roman" w:hAnsi="Times New Roman" w:cs="Times New Roman"/>
          <w:sz w:val="24"/>
          <w:szCs w:val="24"/>
        </w:rPr>
        <w:t xml:space="preserve"> This is, at least, the situatio</w:t>
      </w:r>
      <w:r w:rsidR="001D3FC2">
        <w:rPr>
          <w:rFonts w:ascii="Times New Roman" w:hAnsi="Times New Roman" w:cs="Times New Roman"/>
          <w:sz w:val="24"/>
          <w:szCs w:val="24"/>
        </w:rPr>
        <w:t xml:space="preserve">n where the benefit is </w:t>
      </w:r>
      <w:r w:rsidRPr="002D78EB">
        <w:rPr>
          <w:rFonts w:ascii="Times New Roman" w:hAnsi="Times New Roman" w:cs="Times New Roman"/>
          <w:sz w:val="24"/>
          <w:szCs w:val="24"/>
        </w:rPr>
        <w:t xml:space="preserve">money. Restitution will </w:t>
      </w:r>
      <w:r w:rsidR="001D3FC2">
        <w:rPr>
          <w:rFonts w:ascii="Times New Roman" w:hAnsi="Times New Roman" w:cs="Times New Roman"/>
          <w:sz w:val="24"/>
          <w:szCs w:val="24"/>
        </w:rPr>
        <w:t xml:space="preserve">then </w:t>
      </w:r>
      <w:r w:rsidRPr="002D78EB">
        <w:rPr>
          <w:rFonts w:ascii="Times New Roman" w:hAnsi="Times New Roman" w:cs="Times New Roman"/>
          <w:sz w:val="24"/>
          <w:szCs w:val="24"/>
        </w:rPr>
        <w:t>be available, and especially attractive, even</w:t>
      </w:r>
      <w:r w:rsidR="001D3FC2">
        <w:rPr>
          <w:rFonts w:ascii="Times New Roman" w:hAnsi="Times New Roman" w:cs="Times New Roman"/>
          <w:sz w:val="24"/>
          <w:szCs w:val="24"/>
        </w:rPr>
        <w:t xml:space="preserve"> though the contract constituted</w:t>
      </w:r>
      <w:r w:rsidRPr="002D78EB">
        <w:rPr>
          <w:rFonts w:ascii="Times New Roman" w:hAnsi="Times New Roman" w:cs="Times New Roman"/>
          <w:sz w:val="24"/>
          <w:szCs w:val="24"/>
        </w:rPr>
        <w:t xml:space="preserve"> a bad bargain. Where, however, the claimant has rendered a se</w:t>
      </w:r>
      <w:r w:rsidR="001D3FC2">
        <w:rPr>
          <w:rFonts w:ascii="Times New Roman" w:hAnsi="Times New Roman" w:cs="Times New Roman"/>
          <w:sz w:val="24"/>
          <w:szCs w:val="24"/>
        </w:rPr>
        <w:t>rvice to the defendant, there has been</w:t>
      </w:r>
      <w:r w:rsidRPr="002D78EB">
        <w:rPr>
          <w:rFonts w:ascii="Times New Roman" w:hAnsi="Times New Roman" w:cs="Times New Roman"/>
          <w:sz w:val="24"/>
          <w:szCs w:val="24"/>
        </w:rPr>
        <w:t xml:space="preserve"> a tendency to confine the claimant to his or her contractual rem</w:t>
      </w:r>
      <w:r w:rsidR="001D3FC2">
        <w:rPr>
          <w:rFonts w:ascii="Times New Roman" w:hAnsi="Times New Roman" w:cs="Times New Roman"/>
          <w:sz w:val="24"/>
          <w:szCs w:val="24"/>
        </w:rPr>
        <w:t>edies and not allow him or her</w:t>
      </w:r>
      <w:r w:rsidRPr="002D78EB">
        <w:rPr>
          <w:rFonts w:ascii="Times New Roman" w:hAnsi="Times New Roman" w:cs="Times New Roman"/>
          <w:sz w:val="24"/>
          <w:szCs w:val="24"/>
        </w:rPr>
        <w:t xml:space="preserve"> to seek a </w:t>
      </w:r>
      <w:r w:rsidRPr="00BE40B4">
        <w:rPr>
          <w:rFonts w:ascii="Times New Roman" w:hAnsi="Times New Roman" w:cs="Times New Roman"/>
          <w:i/>
          <w:sz w:val="24"/>
          <w:szCs w:val="24"/>
        </w:rPr>
        <w:t xml:space="preserve">quantum </w:t>
      </w:r>
      <w:proofErr w:type="spellStart"/>
      <w:r w:rsidRPr="00BE40B4">
        <w:rPr>
          <w:rFonts w:ascii="Times New Roman" w:hAnsi="Times New Roman" w:cs="Times New Roman"/>
          <w:i/>
          <w:sz w:val="24"/>
          <w:szCs w:val="24"/>
        </w:rPr>
        <w:t>meruit</w:t>
      </w:r>
      <w:proofErr w:type="spellEnd"/>
      <w:r w:rsidRPr="00BE40B4">
        <w:rPr>
          <w:rFonts w:ascii="Times New Roman" w:hAnsi="Times New Roman" w:cs="Times New Roman"/>
          <w:sz w:val="24"/>
          <w:szCs w:val="24"/>
        </w:rPr>
        <w:t xml:space="preserve"> outside of the contract.</w:t>
      </w:r>
      <w:r w:rsidR="00BE40B4">
        <w:rPr>
          <w:rFonts w:ascii="Times New Roman" w:hAnsi="Times New Roman" w:cs="Times New Roman"/>
          <w:sz w:val="24"/>
          <w:szCs w:val="24"/>
        </w:rPr>
        <w:t xml:space="preserve"> </w:t>
      </w:r>
      <w:r w:rsidRPr="00BE40B4">
        <w:rPr>
          <w:rFonts w:ascii="Times New Roman" w:hAnsi="Times New Roman" w:cs="Times New Roman"/>
          <w:sz w:val="24"/>
          <w:szCs w:val="24"/>
        </w:rPr>
        <w:t xml:space="preserve">This was the position adopted in </w:t>
      </w:r>
      <w:r w:rsidRPr="00BE40B4">
        <w:rPr>
          <w:rFonts w:ascii="Times New Roman" w:hAnsi="Times New Roman" w:cs="Times New Roman"/>
          <w:i/>
          <w:iCs/>
          <w:sz w:val="24"/>
          <w:szCs w:val="24"/>
        </w:rPr>
        <w:t>Taylor</w:t>
      </w:r>
      <w:r w:rsidRPr="00BE40B4">
        <w:rPr>
          <w:rFonts w:ascii="Times New Roman" w:hAnsi="Times New Roman" w:cs="Times New Roman"/>
          <w:sz w:val="24"/>
          <w:szCs w:val="24"/>
        </w:rPr>
        <w:t xml:space="preserve"> </w:t>
      </w:r>
      <w:r w:rsidRPr="00BE40B4">
        <w:rPr>
          <w:rFonts w:ascii="Times New Roman" w:hAnsi="Times New Roman" w:cs="Times New Roman"/>
          <w:i/>
          <w:iCs/>
          <w:sz w:val="24"/>
          <w:szCs w:val="24"/>
        </w:rPr>
        <w:t>v</w:t>
      </w:r>
      <w:r w:rsidRPr="00BE40B4">
        <w:rPr>
          <w:rFonts w:ascii="Times New Roman" w:hAnsi="Times New Roman" w:cs="Times New Roman"/>
          <w:sz w:val="24"/>
          <w:szCs w:val="24"/>
        </w:rPr>
        <w:t xml:space="preserve"> </w:t>
      </w:r>
      <w:r w:rsidRPr="00BE40B4">
        <w:rPr>
          <w:rFonts w:ascii="Times New Roman" w:hAnsi="Times New Roman" w:cs="Times New Roman"/>
          <w:i/>
          <w:iCs/>
          <w:sz w:val="24"/>
          <w:szCs w:val="24"/>
        </w:rPr>
        <w:t>Motability Finance Ltd</w:t>
      </w:r>
      <w:r w:rsidR="00BE40B4">
        <w:rPr>
          <w:rFonts w:ascii="Times New Roman" w:hAnsi="Times New Roman" w:cs="Times New Roman"/>
          <w:iCs/>
          <w:sz w:val="24"/>
          <w:szCs w:val="24"/>
        </w:rPr>
        <w:t>,</w:t>
      </w:r>
      <w:r w:rsidRPr="00BE40B4">
        <w:rPr>
          <w:rStyle w:val="FootnoteReference"/>
          <w:rFonts w:ascii="Times New Roman" w:hAnsi="Times New Roman" w:cs="Times New Roman"/>
          <w:sz w:val="24"/>
          <w:szCs w:val="24"/>
        </w:rPr>
        <w:footnoteReference w:id="22"/>
      </w:r>
      <w:r w:rsidRPr="00BE40B4">
        <w:rPr>
          <w:rFonts w:ascii="Times New Roman" w:hAnsi="Times New Roman" w:cs="Times New Roman"/>
          <w:iCs/>
          <w:sz w:val="24"/>
          <w:szCs w:val="24"/>
        </w:rPr>
        <w:t xml:space="preserve"> where the defendant had terminated </w:t>
      </w:r>
      <w:r w:rsidRPr="00BE40B4">
        <w:rPr>
          <w:rFonts w:ascii="Times New Roman" w:hAnsi="Times New Roman" w:cs="Times New Roman"/>
          <w:sz w:val="24"/>
          <w:szCs w:val="24"/>
        </w:rPr>
        <w:t xml:space="preserve">an employment contract with the claimant who argued that this constituted a </w:t>
      </w:r>
      <w:proofErr w:type="spellStart"/>
      <w:r w:rsidRPr="00BE40B4">
        <w:rPr>
          <w:rFonts w:ascii="Times New Roman" w:hAnsi="Times New Roman" w:cs="Times New Roman"/>
          <w:sz w:val="24"/>
          <w:szCs w:val="24"/>
        </w:rPr>
        <w:t>repudiatory</w:t>
      </w:r>
      <w:proofErr w:type="spellEnd"/>
      <w:r w:rsidRPr="00BE40B4">
        <w:rPr>
          <w:rFonts w:ascii="Times New Roman" w:hAnsi="Times New Roman" w:cs="Times New Roman"/>
          <w:sz w:val="24"/>
          <w:szCs w:val="24"/>
        </w:rPr>
        <w:t xml:space="preserve"> breach so that a </w:t>
      </w:r>
      <w:proofErr w:type="spellStart"/>
      <w:r w:rsidRPr="00BE40B4">
        <w:rPr>
          <w:rFonts w:ascii="Times New Roman" w:hAnsi="Times New Roman" w:cs="Times New Roman"/>
          <w:sz w:val="24"/>
          <w:szCs w:val="24"/>
        </w:rPr>
        <w:t>restitutionary</w:t>
      </w:r>
      <w:proofErr w:type="spellEnd"/>
      <w:r w:rsidRPr="00BE40B4">
        <w:rPr>
          <w:rFonts w:ascii="Times New Roman" w:hAnsi="Times New Roman" w:cs="Times New Roman"/>
          <w:sz w:val="24"/>
          <w:szCs w:val="24"/>
        </w:rPr>
        <w:t xml:space="preserve"> remedy could be awarded outside of the contract for the work done. This argument was rejected because the claimant had fully performed the contract by providing services to the defendant and so, although the primary obligation to perform had been revoked, the contractual regime subsisted in terms of the secondary obligation to pay damages for breach.</w:t>
      </w:r>
      <w:r w:rsidRPr="00BE40B4">
        <w:rPr>
          <w:rStyle w:val="FootnoteReference"/>
          <w:rFonts w:ascii="Times New Roman" w:hAnsi="Times New Roman" w:cs="Times New Roman"/>
          <w:sz w:val="24"/>
          <w:szCs w:val="24"/>
        </w:rPr>
        <w:footnoteReference w:id="23"/>
      </w:r>
      <w:r w:rsidR="001D3FC2" w:rsidRPr="00BE40B4">
        <w:rPr>
          <w:rFonts w:ascii="Times New Roman" w:hAnsi="Times New Roman" w:cs="Times New Roman"/>
          <w:sz w:val="24"/>
          <w:szCs w:val="24"/>
        </w:rPr>
        <w:t xml:space="preserve"> It follows</w:t>
      </w:r>
      <w:r w:rsidRPr="00BE40B4">
        <w:rPr>
          <w:rFonts w:ascii="Times New Roman" w:hAnsi="Times New Roman" w:cs="Times New Roman"/>
          <w:sz w:val="24"/>
          <w:szCs w:val="24"/>
        </w:rPr>
        <w:t xml:space="preserve"> that</w:t>
      </w:r>
      <w:r w:rsidR="001D3FC2" w:rsidRPr="00BE40B4">
        <w:rPr>
          <w:rFonts w:ascii="Times New Roman" w:hAnsi="Times New Roman" w:cs="Times New Roman"/>
          <w:sz w:val="24"/>
          <w:szCs w:val="24"/>
        </w:rPr>
        <w:t>,</w:t>
      </w:r>
      <w:r w:rsidRPr="00BE40B4">
        <w:rPr>
          <w:rFonts w:ascii="Times New Roman" w:hAnsi="Times New Roman" w:cs="Times New Roman"/>
          <w:sz w:val="24"/>
          <w:szCs w:val="24"/>
        </w:rPr>
        <w:t xml:space="preserve"> where a claimant has paid money to the defendant and has received nothing in return, the contractual regime no longer applies once the contract has been discharged, so that a </w:t>
      </w:r>
      <w:proofErr w:type="spellStart"/>
      <w:r w:rsidRPr="00BE40B4">
        <w:rPr>
          <w:rFonts w:ascii="Times New Roman" w:hAnsi="Times New Roman" w:cs="Times New Roman"/>
          <w:sz w:val="24"/>
          <w:szCs w:val="24"/>
        </w:rPr>
        <w:t>restitutionary</w:t>
      </w:r>
      <w:proofErr w:type="spellEnd"/>
      <w:r w:rsidRPr="00BE40B4">
        <w:rPr>
          <w:rFonts w:ascii="Times New Roman" w:hAnsi="Times New Roman" w:cs="Times New Roman"/>
          <w:sz w:val="24"/>
          <w:szCs w:val="24"/>
        </w:rPr>
        <w:t xml:space="preserve"> claim will lie.</w:t>
      </w:r>
      <w:r w:rsidRPr="00BE40B4">
        <w:rPr>
          <w:rStyle w:val="FootnoteReference"/>
          <w:rFonts w:ascii="Times New Roman" w:hAnsi="Times New Roman" w:cs="Times New Roman"/>
          <w:sz w:val="24"/>
          <w:szCs w:val="24"/>
        </w:rPr>
        <w:footnoteReference w:id="24"/>
      </w:r>
      <w:r w:rsidRPr="00BE40B4">
        <w:rPr>
          <w:rFonts w:ascii="Times New Roman" w:hAnsi="Times New Roman" w:cs="Times New Roman"/>
          <w:sz w:val="24"/>
          <w:szCs w:val="24"/>
        </w:rPr>
        <w:t xml:space="preserve"> Where, however, services are provided by the claimant, the contractual regime still governs the award of remedies</w:t>
      </w:r>
      <w:r w:rsidR="005941A5">
        <w:rPr>
          <w:rFonts w:ascii="Times New Roman" w:hAnsi="Times New Roman" w:cs="Times New Roman"/>
          <w:sz w:val="24"/>
          <w:szCs w:val="24"/>
        </w:rPr>
        <w:t>,</w:t>
      </w:r>
      <w:r w:rsidRPr="00BE40B4">
        <w:rPr>
          <w:rFonts w:ascii="Times New Roman" w:hAnsi="Times New Roman" w:cs="Times New Roman"/>
          <w:sz w:val="24"/>
          <w:szCs w:val="24"/>
        </w:rPr>
        <w:t xml:space="preserve"> despite the repudiation of the contract.</w:t>
      </w:r>
      <w:r w:rsidRPr="00BE40B4">
        <w:rPr>
          <w:rStyle w:val="FootnoteReference"/>
          <w:rFonts w:ascii="Times New Roman" w:hAnsi="Times New Roman" w:cs="Times New Roman"/>
          <w:sz w:val="24"/>
          <w:szCs w:val="24"/>
        </w:rPr>
        <w:footnoteReference w:id="25"/>
      </w:r>
      <w:r w:rsidRPr="00BE40B4">
        <w:rPr>
          <w:rFonts w:ascii="Times New Roman" w:hAnsi="Times New Roman" w:cs="Times New Roman"/>
          <w:sz w:val="24"/>
          <w:szCs w:val="24"/>
        </w:rPr>
        <w:t xml:space="preserve"> Cooke J recognised that:</w:t>
      </w:r>
    </w:p>
    <w:p w:rsidR="00F87E51" w:rsidRPr="00F87E51" w:rsidRDefault="00F87E51" w:rsidP="00F87E51">
      <w:pPr>
        <w:pStyle w:val="h8f"/>
        <w:spacing w:before="221" w:line="276" w:lineRule="auto"/>
        <w:rPr>
          <w:rFonts w:ascii="Times New Roman" w:hAnsi="Times New Roman" w:cs="Times New Roman"/>
          <w:iCs/>
        </w:rPr>
      </w:pPr>
    </w:p>
    <w:p w:rsidR="00200630" w:rsidRDefault="00200630" w:rsidP="00593ACB">
      <w:pPr>
        <w:ind w:left="720"/>
        <w:rPr>
          <w:rFonts w:ascii="Times New Roman" w:hAnsi="Times New Roman" w:cs="Times New Roman"/>
          <w:sz w:val="24"/>
          <w:szCs w:val="24"/>
        </w:rPr>
      </w:pPr>
      <w:r w:rsidRPr="002D78EB">
        <w:rPr>
          <w:rFonts w:ascii="Times New Roman" w:hAnsi="Times New Roman" w:cs="Times New Roman"/>
          <w:sz w:val="24"/>
          <w:szCs w:val="24"/>
        </w:rPr>
        <w:t>there is no room for a remedy outside the terms of the contract where what is done amounts to a breach of it where ordinary contractual remedies can apply and payment of damages is the secondary liability for which the contract provides.</w:t>
      </w:r>
      <w:r w:rsidRPr="002D78EB">
        <w:rPr>
          <w:rStyle w:val="FootnoteReference"/>
          <w:rFonts w:ascii="Times New Roman" w:hAnsi="Times New Roman" w:cs="Times New Roman"/>
          <w:sz w:val="24"/>
          <w:szCs w:val="24"/>
        </w:rPr>
        <w:footnoteReference w:id="26"/>
      </w:r>
    </w:p>
    <w:p w:rsidR="001F20C3" w:rsidRDefault="001F20C3" w:rsidP="001F20C3">
      <w:pPr>
        <w:autoSpaceDE w:val="0"/>
        <w:autoSpaceDN w:val="0"/>
        <w:adjustRightInd w:val="0"/>
        <w:spacing w:after="0"/>
        <w:rPr>
          <w:rFonts w:ascii="Times New Roman" w:hAnsi="Times New Roman" w:cs="Times New Roman"/>
          <w:sz w:val="24"/>
          <w:szCs w:val="24"/>
        </w:rPr>
      </w:pPr>
      <w:r w:rsidRPr="002D78EB">
        <w:rPr>
          <w:rFonts w:ascii="Times New Roman" w:hAnsi="Times New Roman" w:cs="Times New Roman"/>
          <w:sz w:val="24"/>
          <w:szCs w:val="24"/>
        </w:rPr>
        <w:t xml:space="preserve">This distinction was approved in </w:t>
      </w:r>
      <w:proofErr w:type="spellStart"/>
      <w:r w:rsidRPr="002D78EB">
        <w:rPr>
          <w:rFonts w:ascii="Times New Roman" w:hAnsi="Times New Roman" w:cs="Times New Roman"/>
          <w:i/>
          <w:iCs/>
          <w:sz w:val="24"/>
          <w:szCs w:val="24"/>
        </w:rPr>
        <w:t>Howes</w:t>
      </w:r>
      <w:proofErr w:type="spellEnd"/>
      <w:r w:rsidRPr="002D78EB">
        <w:rPr>
          <w:rFonts w:ascii="Times New Roman" w:hAnsi="Times New Roman" w:cs="Times New Roman"/>
          <w:i/>
          <w:iCs/>
          <w:sz w:val="24"/>
          <w:szCs w:val="24"/>
        </w:rPr>
        <w:t xml:space="preserve"> Percival</w:t>
      </w:r>
      <w:r>
        <w:rPr>
          <w:rFonts w:ascii="Times New Roman" w:hAnsi="Times New Roman" w:cs="Times New Roman"/>
          <w:i/>
          <w:iCs/>
          <w:sz w:val="24"/>
          <w:szCs w:val="24"/>
        </w:rPr>
        <w:t xml:space="preserve"> </w:t>
      </w:r>
      <w:r w:rsidRPr="002D78EB">
        <w:rPr>
          <w:rFonts w:ascii="Times New Roman" w:hAnsi="Times New Roman" w:cs="Times New Roman"/>
          <w:i/>
          <w:iCs/>
          <w:sz w:val="24"/>
          <w:szCs w:val="24"/>
        </w:rPr>
        <w:t>LLP v Page</w:t>
      </w:r>
      <w:r w:rsidRPr="001F20C3">
        <w:rPr>
          <w:rStyle w:val="FootnoteReference"/>
          <w:rFonts w:ascii="Times New Roman" w:hAnsi="Times New Roman" w:cs="Times New Roman"/>
          <w:iCs/>
          <w:sz w:val="24"/>
          <w:szCs w:val="24"/>
        </w:rPr>
        <w:footnoteReference w:id="27"/>
      </w:r>
      <w:r w:rsidRPr="002D78EB">
        <w:rPr>
          <w:rFonts w:ascii="Times New Roman" w:hAnsi="Times New Roman" w:cs="Times New Roman"/>
          <w:sz w:val="24"/>
          <w:szCs w:val="24"/>
        </w:rPr>
        <w:t xml:space="preserve"> where it was held that, where a solicitor had a conditional right</w:t>
      </w:r>
      <w:r>
        <w:rPr>
          <w:rFonts w:ascii="Times New Roman" w:hAnsi="Times New Roman" w:cs="Times New Roman"/>
          <w:i/>
          <w:iCs/>
          <w:sz w:val="24"/>
          <w:szCs w:val="24"/>
        </w:rPr>
        <w:t xml:space="preserve"> </w:t>
      </w:r>
      <w:r w:rsidRPr="002D78EB">
        <w:rPr>
          <w:rFonts w:ascii="Times New Roman" w:hAnsi="Times New Roman" w:cs="Times New Roman"/>
          <w:sz w:val="24"/>
          <w:szCs w:val="24"/>
        </w:rPr>
        <w:t>to receive payment for services if litigation was successful, once the defendant</w:t>
      </w:r>
      <w:r>
        <w:rPr>
          <w:rFonts w:ascii="Times New Roman" w:hAnsi="Times New Roman" w:cs="Times New Roman"/>
          <w:i/>
          <w:iCs/>
          <w:sz w:val="24"/>
          <w:szCs w:val="24"/>
        </w:rPr>
        <w:t xml:space="preserve"> </w:t>
      </w:r>
      <w:r w:rsidRPr="002D78EB">
        <w:rPr>
          <w:rFonts w:ascii="Times New Roman" w:hAnsi="Times New Roman" w:cs="Times New Roman"/>
          <w:sz w:val="24"/>
          <w:szCs w:val="24"/>
        </w:rPr>
        <w:t xml:space="preserve">had committed a </w:t>
      </w:r>
      <w:proofErr w:type="spellStart"/>
      <w:r w:rsidRPr="002D78EB">
        <w:rPr>
          <w:rFonts w:ascii="Times New Roman" w:hAnsi="Times New Roman" w:cs="Times New Roman"/>
          <w:sz w:val="24"/>
          <w:szCs w:val="24"/>
        </w:rPr>
        <w:t>repudiatory</w:t>
      </w:r>
      <w:proofErr w:type="spellEnd"/>
      <w:r w:rsidRPr="002D78EB">
        <w:rPr>
          <w:rFonts w:ascii="Times New Roman" w:hAnsi="Times New Roman" w:cs="Times New Roman"/>
          <w:sz w:val="24"/>
          <w:szCs w:val="24"/>
        </w:rPr>
        <w:t xml:space="preserve"> breach of the contract there was no right to obtain</w:t>
      </w:r>
      <w:r>
        <w:rPr>
          <w:rFonts w:ascii="Times New Roman" w:hAnsi="Times New Roman" w:cs="Times New Roman"/>
          <w:i/>
          <w:iCs/>
          <w:sz w:val="24"/>
          <w:szCs w:val="24"/>
        </w:rPr>
        <w:t xml:space="preserve"> </w:t>
      </w:r>
      <w:r w:rsidRPr="002D78EB">
        <w:rPr>
          <w:rFonts w:ascii="Times New Roman" w:hAnsi="Times New Roman" w:cs="Times New Roman"/>
          <w:sz w:val="24"/>
          <w:szCs w:val="24"/>
        </w:rPr>
        <w:t xml:space="preserve">a </w:t>
      </w:r>
      <w:r w:rsidRPr="001F20C3">
        <w:rPr>
          <w:rFonts w:ascii="Times New Roman" w:hAnsi="Times New Roman" w:cs="Times New Roman"/>
          <w:i/>
          <w:sz w:val="24"/>
          <w:szCs w:val="24"/>
        </w:rPr>
        <w:t xml:space="preserve">quantum </w:t>
      </w:r>
      <w:proofErr w:type="spellStart"/>
      <w:r w:rsidRPr="001F20C3">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for the services provided by the solicitor, but only damages for</w:t>
      </w:r>
      <w:r>
        <w:rPr>
          <w:rFonts w:ascii="Times New Roman" w:hAnsi="Times New Roman" w:cs="Times New Roman"/>
          <w:i/>
          <w:iCs/>
          <w:sz w:val="24"/>
          <w:szCs w:val="24"/>
        </w:rPr>
        <w:t xml:space="preserve"> </w:t>
      </w:r>
      <w:r w:rsidRPr="002D78EB">
        <w:rPr>
          <w:rFonts w:ascii="Times New Roman" w:hAnsi="Times New Roman" w:cs="Times New Roman"/>
          <w:sz w:val="24"/>
          <w:szCs w:val="24"/>
        </w:rPr>
        <w:t>the breach of contract. This would be particularly significant where the defendant</w:t>
      </w:r>
      <w:r>
        <w:rPr>
          <w:rFonts w:ascii="Times New Roman" w:hAnsi="Times New Roman" w:cs="Times New Roman"/>
          <w:i/>
          <w:iCs/>
          <w:sz w:val="24"/>
          <w:szCs w:val="24"/>
        </w:rPr>
        <w:t xml:space="preserve"> </w:t>
      </w:r>
      <w:r w:rsidRPr="002D78EB">
        <w:rPr>
          <w:rFonts w:ascii="Times New Roman" w:hAnsi="Times New Roman" w:cs="Times New Roman"/>
          <w:sz w:val="24"/>
          <w:szCs w:val="24"/>
        </w:rPr>
        <w:t>was likely to lose the litigation, for then the solicitor would not have suffered any</w:t>
      </w:r>
      <w:r>
        <w:rPr>
          <w:rFonts w:ascii="Times New Roman" w:hAnsi="Times New Roman" w:cs="Times New Roman"/>
          <w:i/>
          <w:iCs/>
          <w:sz w:val="24"/>
          <w:szCs w:val="24"/>
        </w:rPr>
        <w:t xml:space="preserve"> </w:t>
      </w:r>
      <w:r w:rsidRPr="002D78EB">
        <w:rPr>
          <w:rFonts w:ascii="Times New Roman" w:hAnsi="Times New Roman" w:cs="Times New Roman"/>
          <w:sz w:val="24"/>
          <w:szCs w:val="24"/>
        </w:rPr>
        <w:t xml:space="preserve">loss. </w:t>
      </w:r>
    </w:p>
    <w:p w:rsidR="001F20C3" w:rsidRPr="002D78EB" w:rsidRDefault="001F20C3" w:rsidP="001F20C3">
      <w:pPr>
        <w:autoSpaceDE w:val="0"/>
        <w:autoSpaceDN w:val="0"/>
        <w:adjustRightInd w:val="0"/>
        <w:spacing w:after="0"/>
        <w:rPr>
          <w:rFonts w:ascii="Times New Roman" w:hAnsi="Times New Roman" w:cs="Times New Roman"/>
          <w:sz w:val="24"/>
          <w:szCs w:val="24"/>
        </w:rPr>
      </w:pPr>
    </w:p>
    <w:p w:rsidR="00200630" w:rsidRDefault="005941A5" w:rsidP="00DF283F">
      <w:pPr>
        <w:rPr>
          <w:rFonts w:ascii="Times New Roman" w:hAnsi="Times New Roman" w:cs="Times New Roman"/>
          <w:sz w:val="24"/>
          <w:szCs w:val="24"/>
        </w:rPr>
      </w:pPr>
      <w:r>
        <w:rPr>
          <w:rFonts w:ascii="Times New Roman" w:hAnsi="Times New Roman" w:cs="Times New Roman"/>
          <w:sz w:val="24"/>
          <w:szCs w:val="24"/>
        </w:rPr>
        <w:tab/>
        <w:t>The legitimacy of confining a claimant to a contractual claim where services had been provided</w:t>
      </w:r>
      <w:r w:rsidR="00200630" w:rsidRPr="002D78EB">
        <w:rPr>
          <w:rFonts w:ascii="Times New Roman" w:hAnsi="Times New Roman" w:cs="Times New Roman"/>
          <w:sz w:val="24"/>
          <w:szCs w:val="24"/>
        </w:rPr>
        <w:t xml:space="preserve"> was consi</w:t>
      </w:r>
      <w:r w:rsidR="00F87E51">
        <w:rPr>
          <w:rFonts w:ascii="Times New Roman" w:hAnsi="Times New Roman" w:cs="Times New Roman"/>
          <w:sz w:val="24"/>
          <w:szCs w:val="24"/>
        </w:rPr>
        <w:t xml:space="preserve">dered </w:t>
      </w:r>
      <w:r w:rsidR="00200630" w:rsidRPr="002D78EB">
        <w:rPr>
          <w:rFonts w:ascii="Times New Roman" w:hAnsi="Times New Roman" w:cs="Times New Roman"/>
          <w:sz w:val="24"/>
          <w:szCs w:val="24"/>
        </w:rPr>
        <w:t xml:space="preserve">in </w:t>
      </w:r>
      <w:r w:rsidR="00F87E51">
        <w:rPr>
          <w:rFonts w:ascii="Times New Roman" w:hAnsi="Times New Roman" w:cs="Times New Roman"/>
          <w:sz w:val="24"/>
          <w:szCs w:val="24"/>
        </w:rPr>
        <w:t xml:space="preserve">Australia in </w:t>
      </w:r>
      <w:proofErr w:type="spellStart"/>
      <w:r w:rsidR="00200630" w:rsidRPr="002D78EB">
        <w:rPr>
          <w:rFonts w:ascii="Times New Roman" w:hAnsi="Times New Roman" w:cs="Times New Roman"/>
          <w:i/>
          <w:sz w:val="24"/>
          <w:szCs w:val="24"/>
        </w:rPr>
        <w:t>Sopov</w:t>
      </w:r>
      <w:proofErr w:type="spellEnd"/>
      <w:r w:rsidR="00200630" w:rsidRPr="002D78EB">
        <w:rPr>
          <w:rFonts w:ascii="Times New Roman" w:hAnsi="Times New Roman" w:cs="Times New Roman"/>
          <w:i/>
          <w:sz w:val="24"/>
          <w:szCs w:val="24"/>
        </w:rPr>
        <w:t xml:space="preserve"> v Kane Constructions Pty Ltd (No 2)</w:t>
      </w:r>
      <w:r w:rsidR="00F87E51">
        <w:rPr>
          <w:rFonts w:ascii="Times New Roman" w:hAnsi="Times New Roman" w:cs="Times New Roman"/>
          <w:sz w:val="24"/>
          <w:szCs w:val="24"/>
        </w:rPr>
        <w:t>,</w:t>
      </w:r>
      <w:r w:rsidR="00200630" w:rsidRPr="002D78EB">
        <w:rPr>
          <w:rStyle w:val="FootnoteReference"/>
          <w:rFonts w:ascii="Times New Roman" w:hAnsi="Times New Roman" w:cs="Times New Roman"/>
          <w:sz w:val="24"/>
          <w:szCs w:val="24"/>
        </w:rPr>
        <w:footnoteReference w:id="28"/>
      </w:r>
      <w:r w:rsidR="00200630" w:rsidRPr="002D78EB">
        <w:rPr>
          <w:rFonts w:ascii="Times New Roman" w:hAnsi="Times New Roman" w:cs="Times New Roman"/>
          <w:sz w:val="24"/>
          <w:szCs w:val="24"/>
        </w:rPr>
        <w:t xml:space="preserve"> where the Court of Appeal of Victoria held that, where a building contract had been terminated by the claimant builder’s acceptance of the defendant landowner’s </w:t>
      </w:r>
      <w:proofErr w:type="spellStart"/>
      <w:r w:rsidR="00200630" w:rsidRPr="002D78EB">
        <w:rPr>
          <w:rFonts w:ascii="Times New Roman" w:hAnsi="Times New Roman" w:cs="Times New Roman"/>
          <w:sz w:val="24"/>
          <w:szCs w:val="24"/>
        </w:rPr>
        <w:t>repudiatory</w:t>
      </w:r>
      <w:proofErr w:type="spellEnd"/>
      <w:r w:rsidR="00200630" w:rsidRPr="002D78EB">
        <w:rPr>
          <w:rFonts w:ascii="Times New Roman" w:hAnsi="Times New Roman" w:cs="Times New Roman"/>
          <w:sz w:val="24"/>
          <w:szCs w:val="24"/>
        </w:rPr>
        <w:t xml:space="preserve"> breach, after building work had been substantiall</w:t>
      </w:r>
      <w:r>
        <w:rPr>
          <w:rFonts w:ascii="Times New Roman" w:hAnsi="Times New Roman" w:cs="Times New Roman"/>
          <w:sz w:val="24"/>
          <w:szCs w:val="24"/>
        </w:rPr>
        <w:t>y undertaken by the claimant, the claimant</w:t>
      </w:r>
      <w:r w:rsidR="00200630" w:rsidRPr="002D78EB">
        <w:rPr>
          <w:rFonts w:ascii="Times New Roman" w:hAnsi="Times New Roman" w:cs="Times New Roman"/>
          <w:sz w:val="24"/>
          <w:szCs w:val="24"/>
        </w:rPr>
        <w:t xml:space="preserve"> could elect to sue on a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i/>
          <w:sz w:val="24"/>
          <w:szCs w:val="24"/>
        </w:rPr>
        <w:t xml:space="preserve"> </w:t>
      </w:r>
      <w:r w:rsidR="00200630" w:rsidRPr="002D78EB">
        <w:rPr>
          <w:rFonts w:ascii="Times New Roman" w:hAnsi="Times New Roman" w:cs="Times New Roman"/>
          <w:sz w:val="24"/>
          <w:szCs w:val="24"/>
        </w:rPr>
        <w:t>rather than for compensatory damages fo</w:t>
      </w:r>
      <w:r w:rsidR="00F87E51">
        <w:rPr>
          <w:rFonts w:ascii="Times New Roman" w:hAnsi="Times New Roman" w:cs="Times New Roman"/>
          <w:sz w:val="24"/>
          <w:szCs w:val="24"/>
        </w:rPr>
        <w:t>r breach of contract. But t</w:t>
      </w:r>
      <w:r w:rsidR="00200630" w:rsidRPr="002D78EB">
        <w:rPr>
          <w:rFonts w:ascii="Times New Roman" w:hAnsi="Times New Roman" w:cs="Times New Roman"/>
          <w:sz w:val="24"/>
          <w:szCs w:val="24"/>
        </w:rPr>
        <w:t>he court only reached this decision because the judges felt bound by prior au</w:t>
      </w:r>
      <w:r>
        <w:rPr>
          <w:rFonts w:ascii="Times New Roman" w:hAnsi="Times New Roman" w:cs="Times New Roman"/>
          <w:sz w:val="24"/>
          <w:szCs w:val="24"/>
        </w:rPr>
        <w:t>thority so to decide</w:t>
      </w:r>
      <w:r w:rsidR="00200630" w:rsidRPr="002D78EB">
        <w:rPr>
          <w:rFonts w:ascii="Times New Roman" w:hAnsi="Times New Roman" w:cs="Times New Roman"/>
          <w:sz w:val="24"/>
          <w:szCs w:val="24"/>
        </w:rPr>
        <w:t>.</w:t>
      </w:r>
      <w:r w:rsidR="00200630" w:rsidRPr="002D78EB">
        <w:rPr>
          <w:rStyle w:val="FootnoteReference"/>
          <w:rFonts w:ascii="Times New Roman" w:hAnsi="Times New Roman" w:cs="Times New Roman"/>
          <w:sz w:val="24"/>
          <w:szCs w:val="24"/>
        </w:rPr>
        <w:footnoteReference w:id="29"/>
      </w:r>
      <w:r w:rsidR="00200630" w:rsidRPr="002D78EB">
        <w:rPr>
          <w:rFonts w:ascii="Times New Roman" w:hAnsi="Times New Roman" w:cs="Times New Roman"/>
          <w:sz w:val="24"/>
          <w:szCs w:val="24"/>
        </w:rPr>
        <w:t xml:space="preserve"> The court considered that the arguments in favour of confining the claimant to compensatory damages were very powerful.</w:t>
      </w:r>
      <w:r w:rsidR="00200630" w:rsidRPr="002D78EB">
        <w:rPr>
          <w:rStyle w:val="FootnoteReference"/>
          <w:rFonts w:ascii="Times New Roman" w:hAnsi="Times New Roman" w:cs="Times New Roman"/>
          <w:sz w:val="24"/>
          <w:szCs w:val="24"/>
        </w:rPr>
        <w:footnoteReference w:id="30"/>
      </w:r>
      <w:r w:rsidR="00200630" w:rsidRPr="002D78EB">
        <w:rPr>
          <w:rFonts w:ascii="Times New Roman" w:hAnsi="Times New Roman" w:cs="Times New Roman"/>
          <w:sz w:val="24"/>
          <w:szCs w:val="24"/>
        </w:rPr>
        <w:t xml:space="preserve"> The essence of these arguments echoed the reasoning of Cooke J in </w:t>
      </w:r>
      <w:r w:rsidR="00F87E51">
        <w:rPr>
          <w:rFonts w:ascii="Times New Roman" w:hAnsi="Times New Roman" w:cs="Times New Roman"/>
          <w:i/>
          <w:sz w:val="24"/>
          <w:szCs w:val="24"/>
        </w:rPr>
        <w:t>Ta</w:t>
      </w:r>
      <w:r w:rsidR="00200630" w:rsidRPr="002D78EB">
        <w:rPr>
          <w:rFonts w:ascii="Times New Roman" w:hAnsi="Times New Roman" w:cs="Times New Roman"/>
          <w:i/>
          <w:sz w:val="24"/>
          <w:szCs w:val="24"/>
        </w:rPr>
        <w:t>y</w:t>
      </w:r>
      <w:r w:rsidR="00F87E51">
        <w:rPr>
          <w:rFonts w:ascii="Times New Roman" w:hAnsi="Times New Roman" w:cs="Times New Roman"/>
          <w:i/>
          <w:sz w:val="24"/>
          <w:szCs w:val="24"/>
        </w:rPr>
        <w:t>l</w:t>
      </w:r>
      <w:r w:rsidR="00200630" w:rsidRPr="002D78EB">
        <w:rPr>
          <w:rFonts w:ascii="Times New Roman" w:hAnsi="Times New Roman" w:cs="Times New Roman"/>
          <w:i/>
          <w:sz w:val="24"/>
          <w:szCs w:val="24"/>
        </w:rPr>
        <w:t>or v Motability Finance</w:t>
      </w:r>
      <w:r w:rsidR="00200630" w:rsidRPr="002D78EB">
        <w:rPr>
          <w:rFonts w:ascii="Times New Roman" w:hAnsi="Times New Roman" w:cs="Times New Roman"/>
          <w:sz w:val="24"/>
          <w:szCs w:val="24"/>
        </w:rPr>
        <w:t>. Essentially</w:t>
      </w:r>
      <w:r>
        <w:rPr>
          <w:rFonts w:ascii="Times New Roman" w:hAnsi="Times New Roman" w:cs="Times New Roman"/>
          <w:sz w:val="24"/>
          <w:szCs w:val="24"/>
        </w:rPr>
        <w:t>,</w:t>
      </w:r>
      <w:r w:rsidR="00200630" w:rsidRPr="002D78EB">
        <w:rPr>
          <w:rFonts w:ascii="Times New Roman" w:hAnsi="Times New Roman" w:cs="Times New Roman"/>
          <w:sz w:val="24"/>
          <w:szCs w:val="24"/>
        </w:rPr>
        <w:t xml:space="preserve"> termination of a contract following a </w:t>
      </w:r>
      <w:proofErr w:type="spellStart"/>
      <w:r w:rsidR="00200630" w:rsidRPr="002D78EB">
        <w:rPr>
          <w:rFonts w:ascii="Times New Roman" w:hAnsi="Times New Roman" w:cs="Times New Roman"/>
          <w:sz w:val="24"/>
          <w:szCs w:val="24"/>
        </w:rPr>
        <w:t>repudiatory</w:t>
      </w:r>
      <w:proofErr w:type="spellEnd"/>
      <w:r w:rsidR="00200630" w:rsidRPr="002D78EB">
        <w:rPr>
          <w:rFonts w:ascii="Times New Roman" w:hAnsi="Times New Roman" w:cs="Times New Roman"/>
          <w:sz w:val="24"/>
          <w:szCs w:val="24"/>
        </w:rPr>
        <w:t xml:space="preserve"> breach discharges the parties from further performance of the contract, but rights which have already </w:t>
      </w:r>
      <w:r>
        <w:rPr>
          <w:rFonts w:ascii="Times New Roman" w:hAnsi="Times New Roman" w:cs="Times New Roman"/>
          <w:sz w:val="24"/>
          <w:szCs w:val="24"/>
        </w:rPr>
        <w:t xml:space="preserve">been acquired are not </w:t>
      </w:r>
      <w:r w:rsidR="00200630" w:rsidRPr="002D78EB">
        <w:rPr>
          <w:rFonts w:ascii="Times New Roman" w:hAnsi="Times New Roman" w:cs="Times New Roman"/>
          <w:sz w:val="24"/>
          <w:szCs w:val="24"/>
        </w:rPr>
        <w:t xml:space="preserve">discharged. If there is a valid and enforceable agreement which governs the right to payment </w:t>
      </w:r>
      <w:r w:rsidR="00F87E51">
        <w:rPr>
          <w:rFonts w:ascii="Times New Roman" w:hAnsi="Times New Roman" w:cs="Times New Roman"/>
          <w:sz w:val="24"/>
          <w:szCs w:val="24"/>
        </w:rPr>
        <w:t xml:space="preserve">for services provided </w:t>
      </w:r>
      <w:r w:rsidR="00200630" w:rsidRPr="002D78EB">
        <w:rPr>
          <w:rFonts w:ascii="Times New Roman" w:hAnsi="Times New Roman" w:cs="Times New Roman"/>
          <w:sz w:val="24"/>
          <w:szCs w:val="24"/>
        </w:rPr>
        <w:t>it is not necessary for the law to impose an obligation to pay a reasonable remuneration for the work done.</w:t>
      </w:r>
      <w:r w:rsidR="00200630" w:rsidRPr="002D78EB">
        <w:rPr>
          <w:rStyle w:val="FootnoteReference"/>
          <w:rFonts w:ascii="Times New Roman" w:hAnsi="Times New Roman" w:cs="Times New Roman"/>
          <w:sz w:val="24"/>
          <w:szCs w:val="24"/>
        </w:rPr>
        <w:footnoteReference w:id="31"/>
      </w:r>
      <w:r w:rsidR="00200630" w:rsidRPr="002D78EB">
        <w:rPr>
          <w:rFonts w:ascii="Times New Roman" w:hAnsi="Times New Roman" w:cs="Times New Roman"/>
          <w:sz w:val="24"/>
          <w:szCs w:val="24"/>
        </w:rPr>
        <w:t xml:space="preserve"> It follows that there is no room for a </w:t>
      </w:r>
      <w:proofErr w:type="spellStart"/>
      <w:r w:rsidR="00200630" w:rsidRPr="002D78EB">
        <w:rPr>
          <w:rFonts w:ascii="Times New Roman" w:hAnsi="Times New Roman" w:cs="Times New Roman"/>
          <w:sz w:val="24"/>
          <w:szCs w:val="24"/>
        </w:rPr>
        <w:t>restitutionary</w:t>
      </w:r>
      <w:proofErr w:type="spellEnd"/>
      <w:r w:rsidR="00200630" w:rsidRPr="002D78EB">
        <w:rPr>
          <w:rFonts w:ascii="Times New Roman" w:hAnsi="Times New Roman" w:cs="Times New Roman"/>
          <w:sz w:val="24"/>
          <w:szCs w:val="24"/>
        </w:rPr>
        <w:t xml:space="preserve"> remedy to be awarded</w:t>
      </w:r>
      <w:r>
        <w:rPr>
          <w:rFonts w:ascii="Times New Roman" w:hAnsi="Times New Roman" w:cs="Times New Roman"/>
          <w:sz w:val="24"/>
          <w:szCs w:val="24"/>
        </w:rPr>
        <w:t>,</w:t>
      </w:r>
      <w:r w:rsidR="00200630" w:rsidRPr="002D78EB">
        <w:rPr>
          <w:rFonts w:ascii="Times New Roman" w:hAnsi="Times New Roman" w:cs="Times New Roman"/>
          <w:sz w:val="24"/>
          <w:szCs w:val="24"/>
        </w:rPr>
        <w:t xml:space="preserve"> because the claim for payment is governed by the contract under which the work was carried out. Those cases which recognised that the claimant could choose whether to sue on the contract or for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were founded on the so-called ‘rescission fallacy’</w:t>
      </w:r>
      <w:r>
        <w:rPr>
          <w:rFonts w:ascii="Times New Roman" w:hAnsi="Times New Roman" w:cs="Times New Roman"/>
          <w:sz w:val="24"/>
          <w:szCs w:val="24"/>
        </w:rPr>
        <w:t>,</w:t>
      </w:r>
      <w:r w:rsidR="00200630" w:rsidRPr="002D78EB">
        <w:rPr>
          <w:rFonts w:ascii="Times New Roman" w:hAnsi="Times New Roman" w:cs="Times New Roman"/>
          <w:sz w:val="24"/>
          <w:szCs w:val="24"/>
        </w:rPr>
        <w:t xml:space="preserve"> whereby the acceptance of a </w:t>
      </w:r>
      <w:proofErr w:type="spellStart"/>
      <w:r w:rsidR="00200630" w:rsidRPr="002D78EB">
        <w:rPr>
          <w:rFonts w:ascii="Times New Roman" w:hAnsi="Times New Roman" w:cs="Times New Roman"/>
          <w:sz w:val="24"/>
          <w:szCs w:val="24"/>
        </w:rPr>
        <w:t>repudiatory</w:t>
      </w:r>
      <w:proofErr w:type="spellEnd"/>
      <w:r w:rsidR="00200630" w:rsidRPr="002D78EB">
        <w:rPr>
          <w:rFonts w:ascii="Times New Roman" w:hAnsi="Times New Roman" w:cs="Times New Roman"/>
          <w:sz w:val="24"/>
          <w:szCs w:val="24"/>
        </w:rPr>
        <w:t xml:space="preserve"> breach ‘rescinded’ the contract </w:t>
      </w:r>
      <w:proofErr w:type="spellStart"/>
      <w:r w:rsidR="00200630" w:rsidRPr="002D78EB">
        <w:rPr>
          <w:rFonts w:ascii="Times New Roman" w:hAnsi="Times New Roman" w:cs="Times New Roman"/>
          <w:sz w:val="24"/>
          <w:szCs w:val="24"/>
        </w:rPr>
        <w:t>ab</w:t>
      </w:r>
      <w:proofErr w:type="spellEnd"/>
      <w:r w:rsidR="00200630" w:rsidRPr="002D78EB">
        <w:rPr>
          <w:rFonts w:ascii="Times New Roman" w:hAnsi="Times New Roman" w:cs="Times New Roman"/>
          <w:sz w:val="24"/>
          <w:szCs w:val="24"/>
        </w:rPr>
        <w:t xml:space="preserve"> initio</w:t>
      </w:r>
      <w:r w:rsidR="00F87E51">
        <w:rPr>
          <w:rFonts w:ascii="Times New Roman" w:hAnsi="Times New Roman" w:cs="Times New Roman"/>
          <w:sz w:val="24"/>
          <w:szCs w:val="24"/>
        </w:rPr>
        <w:t>,</w:t>
      </w:r>
      <w:r w:rsidR="00200630" w:rsidRPr="002D78EB">
        <w:rPr>
          <w:rFonts w:ascii="Times New Roman" w:hAnsi="Times New Roman" w:cs="Times New Roman"/>
          <w:sz w:val="24"/>
          <w:szCs w:val="24"/>
        </w:rPr>
        <w:t xml:space="preserve"> so that there was no longer a valid agreement to govern the claim for services. It is now clear that acceptance of a </w:t>
      </w:r>
      <w:proofErr w:type="spellStart"/>
      <w:r w:rsidR="00200630" w:rsidRPr="002D78EB">
        <w:rPr>
          <w:rFonts w:ascii="Times New Roman" w:hAnsi="Times New Roman" w:cs="Times New Roman"/>
          <w:sz w:val="24"/>
          <w:szCs w:val="24"/>
        </w:rPr>
        <w:t>repudiatory</w:t>
      </w:r>
      <w:proofErr w:type="spellEnd"/>
      <w:r w:rsidR="00200630" w:rsidRPr="002D78EB">
        <w:rPr>
          <w:rFonts w:ascii="Times New Roman" w:hAnsi="Times New Roman" w:cs="Times New Roman"/>
          <w:sz w:val="24"/>
          <w:szCs w:val="24"/>
        </w:rPr>
        <w:t xml:space="preserve"> breach does not have this result and so a claim in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outside of the contract should not be available in such circumstances. </w:t>
      </w:r>
    </w:p>
    <w:p w:rsidR="00200630" w:rsidRPr="002D78EB" w:rsidRDefault="00C236AF" w:rsidP="00DF283F">
      <w:pPr>
        <w:rPr>
          <w:rFonts w:ascii="Times New Roman" w:hAnsi="Times New Roman" w:cs="Times New Roman"/>
          <w:sz w:val="24"/>
          <w:szCs w:val="24"/>
        </w:rPr>
      </w:pPr>
      <w:r>
        <w:rPr>
          <w:rFonts w:ascii="Times New Roman" w:hAnsi="Times New Roman" w:cs="Times New Roman"/>
          <w:sz w:val="24"/>
          <w:szCs w:val="24"/>
        </w:rPr>
        <w:tab/>
      </w:r>
      <w:r w:rsidR="00200630" w:rsidRPr="002D78EB">
        <w:rPr>
          <w:rFonts w:ascii="Times New Roman" w:hAnsi="Times New Roman" w:cs="Times New Roman"/>
          <w:sz w:val="24"/>
          <w:szCs w:val="24"/>
        </w:rPr>
        <w:t>The Victorian Court of Appeal considered this to be a powerful argument,</w:t>
      </w:r>
      <w:r w:rsidR="001F20C3">
        <w:rPr>
          <w:rStyle w:val="FootnoteReference"/>
          <w:rFonts w:ascii="Times New Roman" w:hAnsi="Times New Roman" w:cs="Times New Roman"/>
          <w:sz w:val="24"/>
          <w:szCs w:val="24"/>
        </w:rPr>
        <w:footnoteReference w:id="32"/>
      </w:r>
      <w:r w:rsidR="00200630" w:rsidRPr="002D78EB">
        <w:rPr>
          <w:rFonts w:ascii="Times New Roman" w:hAnsi="Times New Roman" w:cs="Times New Roman"/>
          <w:sz w:val="24"/>
          <w:szCs w:val="24"/>
        </w:rPr>
        <w:t xml:space="preserve"> but</w:t>
      </w:r>
      <w:r w:rsidR="00F87E51">
        <w:rPr>
          <w:rFonts w:ascii="Times New Roman" w:hAnsi="Times New Roman" w:cs="Times New Roman"/>
          <w:sz w:val="24"/>
          <w:szCs w:val="24"/>
        </w:rPr>
        <w:t>,</w:t>
      </w:r>
      <w:r w:rsidR="00200630" w:rsidRPr="002D78EB">
        <w:rPr>
          <w:rFonts w:ascii="Times New Roman" w:hAnsi="Times New Roman" w:cs="Times New Roman"/>
          <w:sz w:val="24"/>
          <w:szCs w:val="24"/>
        </w:rPr>
        <w:t xml:space="preserve"> because of the state of the English and Australian authoriti</w:t>
      </w:r>
      <w:r w:rsidR="00F87E51">
        <w:rPr>
          <w:rFonts w:ascii="Times New Roman" w:hAnsi="Times New Roman" w:cs="Times New Roman"/>
          <w:sz w:val="24"/>
          <w:szCs w:val="24"/>
        </w:rPr>
        <w:t xml:space="preserve">es, </w:t>
      </w:r>
      <w:r w:rsidR="00200630" w:rsidRPr="002D78EB">
        <w:rPr>
          <w:rFonts w:ascii="Times New Roman" w:hAnsi="Times New Roman" w:cs="Times New Roman"/>
          <w:sz w:val="24"/>
          <w:szCs w:val="24"/>
        </w:rPr>
        <w:t>concluded that this was a matter for the High Court of Australia to resolve. The High C</w:t>
      </w:r>
      <w:r w:rsidR="00F87E51">
        <w:rPr>
          <w:rFonts w:ascii="Times New Roman" w:hAnsi="Times New Roman" w:cs="Times New Roman"/>
          <w:sz w:val="24"/>
          <w:szCs w:val="24"/>
        </w:rPr>
        <w:t xml:space="preserve">ourt of Australia </w:t>
      </w:r>
      <w:r w:rsidR="00200630" w:rsidRPr="002D78EB">
        <w:rPr>
          <w:rFonts w:ascii="Times New Roman" w:hAnsi="Times New Roman" w:cs="Times New Roman"/>
          <w:sz w:val="24"/>
          <w:szCs w:val="24"/>
        </w:rPr>
        <w:t>refused leave to appeal</w:t>
      </w:r>
      <w:r w:rsidR="00F87E51">
        <w:rPr>
          <w:rFonts w:ascii="Times New Roman" w:hAnsi="Times New Roman" w:cs="Times New Roman"/>
          <w:sz w:val="24"/>
          <w:szCs w:val="24"/>
        </w:rPr>
        <w:t>.</w:t>
      </w:r>
      <w:r w:rsidR="00200630" w:rsidRPr="002D78EB">
        <w:rPr>
          <w:rStyle w:val="FootnoteReference"/>
          <w:rFonts w:ascii="Times New Roman" w:hAnsi="Times New Roman" w:cs="Times New Roman"/>
          <w:sz w:val="24"/>
          <w:szCs w:val="24"/>
        </w:rPr>
        <w:footnoteReference w:id="33"/>
      </w:r>
      <w:r w:rsidR="00200630" w:rsidRPr="002D78EB">
        <w:rPr>
          <w:rFonts w:ascii="Times New Roman" w:hAnsi="Times New Roman" w:cs="Times New Roman"/>
          <w:sz w:val="24"/>
          <w:szCs w:val="24"/>
        </w:rPr>
        <w:t xml:space="preserve"> This might be considered to be an implicit endorsement of the view that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is available as an alternative to compensatory damages, and indeed the Victorian Court of Appeal considered that the earlier refusal of the High Court to grant leave to appeal on this point constituted implicit endorsement of the availability of the alternative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claim.</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ab/>
        <w:t xml:space="preserve">It is indeed the case that </w:t>
      </w:r>
      <w:r w:rsidR="00F87E51">
        <w:rPr>
          <w:rFonts w:ascii="Times New Roman" w:hAnsi="Times New Roman" w:cs="Times New Roman"/>
          <w:sz w:val="24"/>
          <w:szCs w:val="24"/>
        </w:rPr>
        <w:t xml:space="preserve">the </w:t>
      </w:r>
      <w:r w:rsidRPr="002D78EB">
        <w:rPr>
          <w:rFonts w:ascii="Times New Roman" w:hAnsi="Times New Roman" w:cs="Times New Roman"/>
          <w:sz w:val="24"/>
          <w:szCs w:val="24"/>
        </w:rPr>
        <w:t>‘rescission fallacy’ has been rejected, but it does</w:t>
      </w:r>
      <w:r w:rsidR="00F87E51">
        <w:rPr>
          <w:rFonts w:ascii="Times New Roman" w:hAnsi="Times New Roman" w:cs="Times New Roman"/>
          <w:sz w:val="24"/>
          <w:szCs w:val="24"/>
        </w:rPr>
        <w:t xml:space="preserve"> not follow </w:t>
      </w:r>
      <w:r w:rsidRPr="002D78EB">
        <w:rPr>
          <w:rFonts w:ascii="Times New Roman" w:hAnsi="Times New Roman" w:cs="Times New Roman"/>
          <w:sz w:val="24"/>
          <w:szCs w:val="24"/>
        </w:rPr>
        <w:t xml:space="preserve">that the option to sue for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rather than for breach of contract has been excluded. It has long been recognised</w:t>
      </w:r>
      <w:r w:rsidR="00F87E51">
        <w:rPr>
          <w:rFonts w:ascii="Times New Roman" w:hAnsi="Times New Roman" w:cs="Times New Roman"/>
          <w:sz w:val="24"/>
          <w:szCs w:val="24"/>
        </w:rPr>
        <w:t>,</w:t>
      </w:r>
      <w:r w:rsidRPr="002D78EB">
        <w:rPr>
          <w:rFonts w:ascii="Times New Roman" w:hAnsi="Times New Roman" w:cs="Times New Roman"/>
          <w:sz w:val="24"/>
          <w:szCs w:val="24"/>
        </w:rPr>
        <w:t xml:space="preserve"> in claims for restitution of money paid under a contract which is subsequently breached, that the claimant can recover the money paid on the ground o</w:t>
      </w:r>
      <w:r w:rsidR="00F87E51">
        <w:rPr>
          <w:rFonts w:ascii="Times New Roman" w:hAnsi="Times New Roman" w:cs="Times New Roman"/>
          <w:sz w:val="24"/>
          <w:szCs w:val="24"/>
        </w:rPr>
        <w:t>f total failure of basis,</w:t>
      </w:r>
      <w:r w:rsidRPr="002D78EB">
        <w:rPr>
          <w:rFonts w:ascii="Times New Roman" w:hAnsi="Times New Roman" w:cs="Times New Roman"/>
          <w:sz w:val="24"/>
          <w:szCs w:val="24"/>
        </w:rPr>
        <w:t xml:space="preserve"> even though the contract was a bad bargain so that the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xml:space="preserve"> remedy was preferable to compensatory damages for breach. There is no policy reason for a different rule applying where the enrichment is services. There is also authority in favour of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being available as an alternative to the contractual remedial regime. In </w:t>
      </w:r>
      <w:r w:rsidRPr="002D78EB">
        <w:rPr>
          <w:rFonts w:ascii="Times New Roman" w:hAnsi="Times New Roman" w:cs="Times New Roman"/>
          <w:i/>
          <w:sz w:val="24"/>
          <w:szCs w:val="24"/>
        </w:rPr>
        <w:t xml:space="preserve">De </w:t>
      </w:r>
      <w:proofErr w:type="spellStart"/>
      <w:r w:rsidRPr="002D78EB">
        <w:rPr>
          <w:rFonts w:ascii="Times New Roman" w:hAnsi="Times New Roman" w:cs="Times New Roman"/>
          <w:i/>
          <w:sz w:val="24"/>
          <w:szCs w:val="24"/>
        </w:rPr>
        <w:t>Bernardy</w:t>
      </w:r>
      <w:proofErr w:type="spellEnd"/>
      <w:r w:rsidRPr="002D78EB">
        <w:rPr>
          <w:rFonts w:ascii="Times New Roman" w:hAnsi="Times New Roman" w:cs="Times New Roman"/>
          <w:i/>
          <w:sz w:val="24"/>
          <w:szCs w:val="24"/>
        </w:rPr>
        <w:t xml:space="preserve"> v Harding</w:t>
      </w:r>
      <w:r w:rsidRPr="002D78EB">
        <w:rPr>
          <w:rStyle w:val="FootnoteReference"/>
          <w:rFonts w:ascii="Times New Roman" w:hAnsi="Times New Roman" w:cs="Times New Roman"/>
          <w:sz w:val="24"/>
          <w:szCs w:val="24"/>
        </w:rPr>
        <w:footnoteReference w:id="34"/>
      </w:r>
      <w:r w:rsidRPr="002D78EB">
        <w:rPr>
          <w:rFonts w:ascii="Times New Roman" w:hAnsi="Times New Roman" w:cs="Times New Roman"/>
          <w:sz w:val="24"/>
          <w:szCs w:val="24"/>
        </w:rPr>
        <w:t>Alderson B recognised that:</w:t>
      </w:r>
    </w:p>
    <w:p w:rsidR="00200630" w:rsidRPr="002D78EB" w:rsidRDefault="00200630" w:rsidP="00DF283F">
      <w:pPr>
        <w:pStyle w:val="h8f"/>
        <w:spacing w:before="221" w:line="276" w:lineRule="auto"/>
        <w:ind w:left="420" w:firstLine="2"/>
        <w:rPr>
          <w:rFonts w:ascii="Times New Roman" w:hAnsi="Times New Roman" w:cs="Times New Roman"/>
        </w:rPr>
      </w:pPr>
      <w:r w:rsidRPr="002D78EB">
        <w:rPr>
          <w:rFonts w:ascii="Times New Roman" w:hAnsi="Times New Roman" w:cs="Times New Roman"/>
        </w:rPr>
        <w:t xml:space="preserve">Where one party has absolutely refused to perform, or has rendered himself incapable of performing, his part of the contract, he puts it in the power of the other party either to sue for a breach of it, or to rescind the contract and sue on a </w:t>
      </w:r>
      <w:r w:rsidRPr="002D78EB">
        <w:rPr>
          <w:rFonts w:ascii="Times New Roman" w:hAnsi="Times New Roman" w:cs="Times New Roman"/>
          <w:i/>
          <w:iCs/>
        </w:rPr>
        <w:t xml:space="preserve">quantum </w:t>
      </w:r>
      <w:proofErr w:type="spellStart"/>
      <w:r w:rsidRPr="002D78EB">
        <w:rPr>
          <w:rFonts w:ascii="Times New Roman" w:hAnsi="Times New Roman" w:cs="Times New Roman"/>
          <w:i/>
          <w:iCs/>
        </w:rPr>
        <w:t>meruit</w:t>
      </w:r>
      <w:proofErr w:type="spellEnd"/>
      <w:r w:rsidRPr="002D78EB">
        <w:rPr>
          <w:rFonts w:ascii="Times New Roman" w:hAnsi="Times New Roman" w:cs="Times New Roman"/>
        </w:rPr>
        <w:t xml:space="preserve"> for the work actually done.</w:t>
      </w:r>
    </w:p>
    <w:p w:rsidR="00C236AF" w:rsidRPr="00C236AF" w:rsidRDefault="00200630" w:rsidP="005941A5">
      <w:pPr>
        <w:pStyle w:val="h8f"/>
        <w:spacing w:before="221" w:line="276" w:lineRule="auto"/>
        <w:rPr>
          <w:rFonts w:ascii="Times New Roman" w:hAnsi="Times New Roman" w:cs="Times New Roman"/>
        </w:rPr>
      </w:pPr>
      <w:r w:rsidRPr="002D78EB">
        <w:rPr>
          <w:rFonts w:ascii="Times New Roman" w:hAnsi="Times New Roman" w:cs="Times New Roman"/>
        </w:rPr>
        <w:t xml:space="preserve">In </w:t>
      </w:r>
      <w:proofErr w:type="spellStart"/>
      <w:r w:rsidRPr="002D78EB">
        <w:rPr>
          <w:rFonts w:ascii="Times New Roman" w:hAnsi="Times New Roman" w:cs="Times New Roman"/>
          <w:i/>
          <w:iCs/>
        </w:rPr>
        <w:t>Prickett</w:t>
      </w:r>
      <w:proofErr w:type="spellEnd"/>
      <w:r w:rsidRPr="002D78EB">
        <w:rPr>
          <w:rFonts w:ascii="Times New Roman" w:hAnsi="Times New Roman" w:cs="Times New Roman"/>
          <w:i/>
          <w:iCs/>
        </w:rPr>
        <w:t xml:space="preserve"> v Badger</w:t>
      </w:r>
      <w:r w:rsidRPr="002D78EB">
        <w:rPr>
          <w:rStyle w:val="FootnoteReference"/>
          <w:rFonts w:ascii="Times New Roman" w:hAnsi="Times New Roman" w:cs="Times New Roman"/>
        </w:rPr>
        <w:footnoteReference w:id="35"/>
      </w:r>
      <w:r w:rsidRPr="002D78EB">
        <w:rPr>
          <w:rFonts w:ascii="Times New Roman" w:hAnsi="Times New Roman" w:cs="Times New Roman"/>
        </w:rPr>
        <w:t xml:space="preserve"> an agent was employed to sell land at a certain price, but</w:t>
      </w:r>
      <w:r w:rsidR="00400CE2">
        <w:rPr>
          <w:rFonts w:ascii="Times New Roman" w:hAnsi="Times New Roman" w:cs="Times New Roman"/>
        </w:rPr>
        <w:t>,</w:t>
      </w:r>
      <w:r w:rsidRPr="002D78EB">
        <w:rPr>
          <w:rFonts w:ascii="Times New Roman" w:hAnsi="Times New Roman" w:cs="Times New Roman"/>
        </w:rPr>
        <w:t xml:space="preserve"> although he found a purchaser, the owner refused to sell and wrongfully revoked the agent’s authority. The agent successfully sued for reasonable remuneration for his work and labour up to that date even though he </w:t>
      </w:r>
      <w:r w:rsidR="00400CE2">
        <w:rPr>
          <w:rFonts w:ascii="Times New Roman" w:hAnsi="Times New Roman" w:cs="Times New Roman"/>
        </w:rPr>
        <w:t xml:space="preserve">also </w:t>
      </w:r>
      <w:r w:rsidRPr="002D78EB">
        <w:rPr>
          <w:rFonts w:ascii="Times New Roman" w:hAnsi="Times New Roman" w:cs="Times New Roman"/>
        </w:rPr>
        <w:t>had a claim for breach of contract.</w:t>
      </w:r>
      <w:r w:rsidR="005941A5">
        <w:rPr>
          <w:rFonts w:ascii="Times New Roman" w:hAnsi="Times New Roman" w:cs="Times New Roman"/>
        </w:rPr>
        <w:t xml:space="preserve"> </w:t>
      </w:r>
      <w:r w:rsidR="00C236AF" w:rsidRPr="002D78EB">
        <w:rPr>
          <w:rFonts w:ascii="Times New Roman" w:hAnsi="Times New Roman" w:cs="Times New Roman"/>
        </w:rPr>
        <w:t xml:space="preserve">In </w:t>
      </w:r>
      <w:proofErr w:type="spellStart"/>
      <w:r w:rsidR="00C236AF" w:rsidRPr="002D78EB">
        <w:rPr>
          <w:rFonts w:ascii="Times New Roman" w:hAnsi="Times New Roman" w:cs="Times New Roman"/>
          <w:i/>
          <w:iCs/>
        </w:rPr>
        <w:t>Elek</w:t>
      </w:r>
      <w:proofErr w:type="spellEnd"/>
      <w:r w:rsidR="00C236AF" w:rsidRPr="002D78EB">
        <w:rPr>
          <w:rFonts w:ascii="Times New Roman" w:hAnsi="Times New Roman" w:cs="Times New Roman"/>
          <w:i/>
          <w:iCs/>
        </w:rPr>
        <w:t xml:space="preserve"> v Bar-</w:t>
      </w:r>
      <w:proofErr w:type="spellStart"/>
      <w:r w:rsidR="00C236AF" w:rsidRPr="002D78EB">
        <w:rPr>
          <w:rFonts w:ascii="Times New Roman" w:hAnsi="Times New Roman" w:cs="Times New Roman"/>
          <w:i/>
          <w:iCs/>
        </w:rPr>
        <w:t>Tur</w:t>
      </w:r>
      <w:proofErr w:type="spellEnd"/>
      <w:r w:rsidR="00C236AF" w:rsidRPr="001F20C3">
        <w:rPr>
          <w:rStyle w:val="FootnoteReference"/>
          <w:rFonts w:ascii="Times New Roman" w:hAnsi="Times New Roman" w:cs="Times New Roman"/>
          <w:iCs/>
        </w:rPr>
        <w:footnoteReference w:id="36"/>
      </w:r>
      <w:r w:rsidR="00C236AF" w:rsidRPr="001F20C3">
        <w:rPr>
          <w:rFonts w:ascii="Times New Roman" w:hAnsi="Times New Roman" w:cs="Times New Roman"/>
        </w:rPr>
        <w:t xml:space="preserve"> </w:t>
      </w:r>
      <w:r w:rsidR="00C236AF" w:rsidRPr="002D78EB">
        <w:rPr>
          <w:rFonts w:ascii="Times New Roman" w:hAnsi="Times New Roman" w:cs="Times New Roman"/>
        </w:rPr>
        <w:t>David Donaldson QC reluctantly accepted that a</w:t>
      </w:r>
      <w:r w:rsidR="00C236AF">
        <w:rPr>
          <w:rFonts w:ascii="Times New Roman" w:hAnsi="Times New Roman" w:cs="Times New Roman"/>
        </w:rPr>
        <w:t xml:space="preserve"> </w:t>
      </w:r>
      <w:r w:rsidR="00C236AF" w:rsidRPr="002D78EB">
        <w:rPr>
          <w:rFonts w:ascii="Times New Roman" w:hAnsi="Times New Roman" w:cs="Times New Roman"/>
        </w:rPr>
        <w:t>claimant who has provided services pursuant to a contract which has been</w:t>
      </w:r>
      <w:r w:rsidR="00C236AF">
        <w:rPr>
          <w:rFonts w:ascii="Times New Roman" w:hAnsi="Times New Roman" w:cs="Times New Roman"/>
        </w:rPr>
        <w:t xml:space="preserve"> </w:t>
      </w:r>
      <w:r w:rsidR="00C236AF" w:rsidRPr="002D78EB">
        <w:rPr>
          <w:rFonts w:ascii="Times New Roman" w:hAnsi="Times New Roman" w:cs="Times New Roman"/>
        </w:rPr>
        <w:t xml:space="preserve">repudiated following breach by the defendant, can bring a </w:t>
      </w:r>
      <w:proofErr w:type="spellStart"/>
      <w:r w:rsidR="00C236AF" w:rsidRPr="002D78EB">
        <w:rPr>
          <w:rFonts w:ascii="Times New Roman" w:hAnsi="Times New Roman" w:cs="Times New Roman"/>
        </w:rPr>
        <w:t>restitutionary</w:t>
      </w:r>
      <w:proofErr w:type="spellEnd"/>
      <w:r w:rsidR="00C236AF" w:rsidRPr="002D78EB">
        <w:rPr>
          <w:rFonts w:ascii="Times New Roman" w:hAnsi="Times New Roman" w:cs="Times New Roman"/>
        </w:rPr>
        <w:t xml:space="preserve"> claim to</w:t>
      </w:r>
      <w:r w:rsidR="00C236AF">
        <w:rPr>
          <w:rFonts w:ascii="Times New Roman" w:hAnsi="Times New Roman" w:cs="Times New Roman"/>
        </w:rPr>
        <w:t xml:space="preserve"> </w:t>
      </w:r>
      <w:r w:rsidR="00C236AF" w:rsidRPr="002D78EB">
        <w:rPr>
          <w:rFonts w:ascii="Times New Roman" w:hAnsi="Times New Roman" w:cs="Times New Roman"/>
        </w:rPr>
        <w:t xml:space="preserve">recover the value of the services. However, following </w:t>
      </w:r>
      <w:r w:rsidR="00C236AF" w:rsidRPr="002D78EB">
        <w:rPr>
          <w:rFonts w:ascii="Times New Roman" w:hAnsi="Times New Roman" w:cs="Times New Roman"/>
          <w:i/>
          <w:iCs/>
        </w:rPr>
        <w:t>Taylor v Motability</w:t>
      </w:r>
      <w:r w:rsidR="00C236AF">
        <w:rPr>
          <w:rFonts w:ascii="Times New Roman" w:hAnsi="Times New Roman" w:cs="Times New Roman"/>
        </w:rPr>
        <w:t xml:space="preserve"> </w:t>
      </w:r>
      <w:r w:rsidR="00C236AF" w:rsidRPr="002D78EB">
        <w:rPr>
          <w:rFonts w:ascii="Times New Roman" w:hAnsi="Times New Roman" w:cs="Times New Roman"/>
          <w:i/>
          <w:iCs/>
        </w:rPr>
        <w:t>Finance</w:t>
      </w:r>
      <w:r w:rsidR="00C236AF">
        <w:rPr>
          <w:rFonts w:ascii="Times New Roman" w:hAnsi="Times New Roman" w:cs="Times New Roman"/>
        </w:rPr>
        <w:t>,</w:t>
      </w:r>
      <w:r w:rsidR="00C236AF">
        <w:rPr>
          <w:rStyle w:val="FootnoteReference"/>
          <w:rFonts w:ascii="Times New Roman" w:hAnsi="Times New Roman" w:cs="Times New Roman"/>
        </w:rPr>
        <w:footnoteReference w:id="37"/>
      </w:r>
      <w:r w:rsidR="00C236AF" w:rsidRPr="002D78EB">
        <w:rPr>
          <w:rFonts w:ascii="Times New Roman" w:hAnsi="Times New Roman" w:cs="Times New Roman"/>
        </w:rPr>
        <w:t xml:space="preserve"> he recognised that this only applies where the claimant has been</w:t>
      </w:r>
      <w:r w:rsidR="00C236AF">
        <w:rPr>
          <w:rFonts w:ascii="Times New Roman" w:hAnsi="Times New Roman" w:cs="Times New Roman"/>
        </w:rPr>
        <w:t xml:space="preserve"> </w:t>
      </w:r>
      <w:r w:rsidR="00C236AF" w:rsidRPr="002D78EB">
        <w:rPr>
          <w:rFonts w:ascii="Times New Roman" w:hAnsi="Times New Roman" w:cs="Times New Roman"/>
        </w:rPr>
        <w:t>unable to complete his contractual performance and</w:t>
      </w:r>
      <w:r w:rsidR="005941A5">
        <w:rPr>
          <w:rFonts w:ascii="Times New Roman" w:hAnsi="Times New Roman" w:cs="Times New Roman"/>
        </w:rPr>
        <w:t>,</w:t>
      </w:r>
      <w:r w:rsidR="00C236AF" w:rsidRPr="002D78EB">
        <w:rPr>
          <w:rFonts w:ascii="Times New Roman" w:hAnsi="Times New Roman" w:cs="Times New Roman"/>
        </w:rPr>
        <w:t xml:space="preserve"> as a result</w:t>
      </w:r>
      <w:r w:rsidR="005941A5">
        <w:rPr>
          <w:rFonts w:ascii="Times New Roman" w:hAnsi="Times New Roman" w:cs="Times New Roman"/>
        </w:rPr>
        <w:t>,</w:t>
      </w:r>
      <w:r w:rsidR="00C236AF" w:rsidRPr="002D78EB">
        <w:rPr>
          <w:rFonts w:ascii="Times New Roman" w:hAnsi="Times New Roman" w:cs="Times New Roman"/>
        </w:rPr>
        <w:t xml:space="preserve"> the defendant’s</w:t>
      </w:r>
      <w:r w:rsidR="00C236AF">
        <w:rPr>
          <w:rFonts w:ascii="Times New Roman" w:hAnsi="Times New Roman" w:cs="Times New Roman"/>
        </w:rPr>
        <w:t xml:space="preserve"> </w:t>
      </w:r>
      <w:r w:rsidR="00C236AF" w:rsidRPr="002D78EB">
        <w:rPr>
          <w:rFonts w:ascii="Times New Roman" w:hAnsi="Times New Roman" w:cs="Times New Roman"/>
        </w:rPr>
        <w:t>counter-performance is not yet due. Where, however, the claimant has fully</w:t>
      </w:r>
      <w:r w:rsidR="00C236AF">
        <w:rPr>
          <w:rFonts w:ascii="Times New Roman" w:hAnsi="Times New Roman" w:cs="Times New Roman"/>
        </w:rPr>
        <w:t xml:space="preserve"> </w:t>
      </w:r>
      <w:r w:rsidR="00C236AF" w:rsidRPr="002D78EB">
        <w:rPr>
          <w:rFonts w:ascii="Times New Roman" w:hAnsi="Times New Roman" w:cs="Times New Roman"/>
        </w:rPr>
        <w:t>performed and is entitled to payment under t</w:t>
      </w:r>
      <w:r w:rsidR="00C236AF">
        <w:rPr>
          <w:rFonts w:ascii="Times New Roman" w:hAnsi="Times New Roman" w:cs="Times New Roman"/>
        </w:rPr>
        <w:t>he contract, the claimant is confined to a contractual claim</w:t>
      </w:r>
      <w:r w:rsidR="00C236AF" w:rsidRPr="002D78EB">
        <w:rPr>
          <w:rFonts w:ascii="Times New Roman" w:hAnsi="Times New Roman" w:cs="Times New Roman"/>
        </w:rPr>
        <w:t>.</w:t>
      </w:r>
    </w:p>
    <w:p w:rsidR="00400CE2" w:rsidRDefault="00200630" w:rsidP="00400CE2">
      <w:pPr>
        <w:pStyle w:val="h8f"/>
        <w:spacing w:before="221" w:line="276" w:lineRule="auto"/>
        <w:ind w:firstLine="720"/>
        <w:rPr>
          <w:rFonts w:ascii="Times New Roman" w:hAnsi="Times New Roman" w:cs="Times New Roman"/>
        </w:rPr>
      </w:pPr>
      <w:r w:rsidRPr="002D78EB">
        <w:rPr>
          <w:rFonts w:ascii="Times New Roman" w:hAnsi="Times New Roman" w:cs="Times New Roman"/>
        </w:rPr>
        <w:t>Where the party who has provi</w:t>
      </w:r>
      <w:r w:rsidR="00400CE2">
        <w:rPr>
          <w:rFonts w:ascii="Times New Roman" w:hAnsi="Times New Roman" w:cs="Times New Roman"/>
        </w:rPr>
        <w:t>ded the services pursuant to a</w:t>
      </w:r>
      <w:r w:rsidRPr="002D78EB">
        <w:rPr>
          <w:rFonts w:ascii="Times New Roman" w:hAnsi="Times New Roman" w:cs="Times New Roman"/>
        </w:rPr>
        <w:t xml:space="preserve"> contract then breaches the contract, a claim for </w:t>
      </w:r>
      <w:r w:rsidRPr="002D78EB">
        <w:rPr>
          <w:rFonts w:ascii="Times New Roman" w:hAnsi="Times New Roman" w:cs="Times New Roman"/>
          <w:i/>
        </w:rPr>
        <w:t xml:space="preserve">quantum </w:t>
      </w:r>
      <w:proofErr w:type="spellStart"/>
      <w:r w:rsidRPr="002D78EB">
        <w:rPr>
          <w:rFonts w:ascii="Times New Roman" w:hAnsi="Times New Roman" w:cs="Times New Roman"/>
          <w:i/>
        </w:rPr>
        <w:t>meruit</w:t>
      </w:r>
      <w:proofErr w:type="spellEnd"/>
      <w:r w:rsidRPr="002D78EB">
        <w:rPr>
          <w:rFonts w:ascii="Times New Roman" w:hAnsi="Times New Roman" w:cs="Times New Roman"/>
        </w:rPr>
        <w:t xml:space="preserve"> will generally be unavailable, even if the other party has terminated the contract, save where the claimant has performed a distinct part of a divisible contract,</w:t>
      </w:r>
      <w:r w:rsidRPr="002D78EB">
        <w:rPr>
          <w:rStyle w:val="FootnoteReference"/>
          <w:rFonts w:ascii="Times New Roman" w:hAnsi="Times New Roman" w:cs="Times New Roman"/>
        </w:rPr>
        <w:footnoteReference w:id="38"/>
      </w:r>
      <w:r w:rsidRPr="002D78EB">
        <w:rPr>
          <w:rFonts w:ascii="Times New Roman" w:hAnsi="Times New Roman" w:cs="Times New Roman"/>
        </w:rPr>
        <w:t xml:space="preserve"> or where the Apportionment Act 1870</w:t>
      </w:r>
      <w:r w:rsidRPr="002D78EB">
        <w:rPr>
          <w:rStyle w:val="FootnoteReference"/>
          <w:rFonts w:ascii="Times New Roman" w:hAnsi="Times New Roman" w:cs="Times New Roman"/>
        </w:rPr>
        <w:footnoteReference w:id="39"/>
      </w:r>
      <w:r w:rsidRPr="002D78EB">
        <w:rPr>
          <w:rFonts w:ascii="Times New Roman" w:hAnsi="Times New Roman" w:cs="Times New Roman"/>
        </w:rPr>
        <w:t xml:space="preserve"> applies</w:t>
      </w:r>
      <w:r w:rsidR="00400CE2">
        <w:rPr>
          <w:rFonts w:ascii="Times New Roman" w:hAnsi="Times New Roman" w:cs="Times New Roman"/>
        </w:rPr>
        <w:t xml:space="preserve"> </w:t>
      </w:r>
      <w:r w:rsidRPr="002D78EB">
        <w:rPr>
          <w:rFonts w:ascii="Times New Roman" w:hAnsi="Times New Roman" w:cs="Times New Roman"/>
        </w:rPr>
        <w:t xml:space="preserve">to enable an employee who had been dismissed to recover a proportionate part of his monthly salary for the period he had actually worked, despite his breach of the contract of employment. In </w:t>
      </w:r>
      <w:r w:rsidRPr="002D78EB">
        <w:rPr>
          <w:rFonts w:ascii="Times New Roman" w:hAnsi="Times New Roman" w:cs="Times New Roman"/>
          <w:i/>
        </w:rPr>
        <w:t>Miles</w:t>
      </w:r>
      <w:r w:rsidRPr="002D78EB">
        <w:rPr>
          <w:rFonts w:ascii="Times New Roman" w:hAnsi="Times New Roman" w:cs="Times New Roman"/>
        </w:rPr>
        <w:t xml:space="preserve"> </w:t>
      </w:r>
      <w:r w:rsidRPr="002D78EB">
        <w:rPr>
          <w:rFonts w:ascii="Times New Roman" w:hAnsi="Times New Roman" w:cs="Times New Roman"/>
          <w:i/>
        </w:rPr>
        <w:t>v</w:t>
      </w:r>
      <w:r w:rsidRPr="002D78EB">
        <w:rPr>
          <w:rFonts w:ascii="Times New Roman" w:hAnsi="Times New Roman" w:cs="Times New Roman"/>
        </w:rPr>
        <w:t xml:space="preserve"> </w:t>
      </w:r>
      <w:r w:rsidRPr="002D78EB">
        <w:rPr>
          <w:rFonts w:ascii="Times New Roman" w:hAnsi="Times New Roman" w:cs="Times New Roman"/>
          <w:i/>
        </w:rPr>
        <w:t>Wakefield Metropolitan District Council</w:t>
      </w:r>
      <w:r w:rsidRPr="002D78EB">
        <w:rPr>
          <w:rStyle w:val="FootnoteReference"/>
          <w:rFonts w:ascii="Times New Roman" w:hAnsi="Times New Roman" w:cs="Times New Roman"/>
        </w:rPr>
        <w:footnoteReference w:id="40"/>
      </w:r>
      <w:r w:rsidRPr="002D78EB">
        <w:rPr>
          <w:rFonts w:ascii="Times New Roman" w:hAnsi="Times New Roman" w:cs="Times New Roman"/>
        </w:rPr>
        <w:t xml:space="preserve"> Lords </w:t>
      </w:r>
      <w:proofErr w:type="spellStart"/>
      <w:r w:rsidRPr="002D78EB">
        <w:rPr>
          <w:rFonts w:ascii="Times New Roman" w:hAnsi="Times New Roman" w:cs="Times New Roman"/>
        </w:rPr>
        <w:t>Brightman</w:t>
      </w:r>
      <w:proofErr w:type="spellEnd"/>
      <w:r w:rsidRPr="002D78EB">
        <w:rPr>
          <w:rFonts w:ascii="Times New Roman" w:hAnsi="Times New Roman" w:cs="Times New Roman"/>
        </w:rPr>
        <w:t xml:space="preserve"> and </w:t>
      </w:r>
      <w:proofErr w:type="spellStart"/>
      <w:r w:rsidRPr="002D78EB">
        <w:rPr>
          <w:rFonts w:ascii="Times New Roman" w:hAnsi="Times New Roman" w:cs="Times New Roman"/>
        </w:rPr>
        <w:t>Templeman</w:t>
      </w:r>
      <w:proofErr w:type="spellEnd"/>
      <w:r w:rsidRPr="002D78EB">
        <w:rPr>
          <w:rFonts w:ascii="Times New Roman" w:hAnsi="Times New Roman" w:cs="Times New Roman"/>
        </w:rPr>
        <w:t xml:space="preserve"> considered that a claimant who had taken industrial action in the form of a ‘go slow’ would have been entitled to a </w:t>
      </w:r>
      <w:r w:rsidRPr="002D78EB">
        <w:rPr>
          <w:rFonts w:ascii="Times New Roman" w:hAnsi="Times New Roman" w:cs="Times New Roman"/>
          <w:i/>
        </w:rPr>
        <w:t xml:space="preserve">quantum </w:t>
      </w:r>
      <w:proofErr w:type="spellStart"/>
      <w:r w:rsidRPr="002D78EB">
        <w:rPr>
          <w:rFonts w:ascii="Times New Roman" w:hAnsi="Times New Roman" w:cs="Times New Roman"/>
          <w:i/>
        </w:rPr>
        <w:t>meruit</w:t>
      </w:r>
      <w:proofErr w:type="spellEnd"/>
      <w:r w:rsidRPr="002D78EB">
        <w:rPr>
          <w:rFonts w:ascii="Times New Roman" w:hAnsi="Times New Roman" w:cs="Times New Roman"/>
        </w:rPr>
        <w:t xml:space="preserve"> in respect of the work done.</w:t>
      </w:r>
      <w:r w:rsidRPr="002D78EB">
        <w:rPr>
          <w:rStyle w:val="FootnoteReference"/>
          <w:rFonts w:ascii="Times New Roman" w:hAnsi="Times New Roman" w:cs="Times New Roman"/>
        </w:rPr>
        <w:footnoteReference w:id="41"/>
      </w:r>
      <w:r w:rsidRPr="002D78EB">
        <w:rPr>
          <w:rFonts w:ascii="Times New Roman" w:hAnsi="Times New Roman" w:cs="Times New Roman"/>
        </w:rPr>
        <w:t xml:space="preserve"> This is, in fact, dubious because the contractual regime would </w:t>
      </w:r>
      <w:r w:rsidR="00400CE2">
        <w:rPr>
          <w:rFonts w:ascii="Times New Roman" w:hAnsi="Times New Roman" w:cs="Times New Roman"/>
        </w:rPr>
        <w:t>typically still be in existence, since the contract will not have been repudiated.</w:t>
      </w:r>
    </w:p>
    <w:p w:rsidR="001F20C3" w:rsidRPr="001F20C3" w:rsidRDefault="001F20C3" w:rsidP="001F20C3">
      <w:pPr>
        <w:autoSpaceDE w:val="0"/>
        <w:autoSpaceDN w:val="0"/>
        <w:adjustRightInd w:val="0"/>
        <w:spacing w:after="0"/>
        <w:rPr>
          <w:rFonts w:ascii="Times New Roman" w:hAnsi="Times New Roman" w:cs="Times New Roman"/>
          <w:sz w:val="24"/>
          <w:szCs w:val="24"/>
        </w:rPr>
      </w:pPr>
    </w:p>
    <w:p w:rsidR="00200630" w:rsidRPr="002D78EB" w:rsidRDefault="00EF7ABE" w:rsidP="001F20C3">
      <w:pPr>
        <w:ind w:firstLine="720"/>
        <w:rPr>
          <w:rFonts w:ascii="Times New Roman" w:hAnsi="Times New Roman" w:cs="Times New Roman"/>
          <w:sz w:val="24"/>
          <w:szCs w:val="24"/>
        </w:rPr>
      </w:pPr>
      <w:r>
        <w:rPr>
          <w:rFonts w:ascii="Times New Roman" w:hAnsi="Times New Roman" w:cs="Times New Roman"/>
          <w:sz w:val="24"/>
          <w:szCs w:val="24"/>
        </w:rPr>
        <w:t>Although</w:t>
      </w:r>
      <w:r w:rsidR="00200630" w:rsidRPr="002D78EB">
        <w:rPr>
          <w:rFonts w:ascii="Times New Roman" w:hAnsi="Times New Roman" w:cs="Times New Roman"/>
          <w:sz w:val="24"/>
          <w:szCs w:val="24"/>
        </w:rPr>
        <w:t xml:space="preserve"> the law of cont</w:t>
      </w:r>
      <w:r w:rsidR="00400CE2">
        <w:rPr>
          <w:rFonts w:ascii="Times New Roman" w:hAnsi="Times New Roman" w:cs="Times New Roman"/>
          <w:sz w:val="24"/>
          <w:szCs w:val="24"/>
        </w:rPr>
        <w:t xml:space="preserve">ract </w:t>
      </w:r>
      <w:r>
        <w:rPr>
          <w:rFonts w:ascii="Times New Roman" w:hAnsi="Times New Roman" w:cs="Times New Roman"/>
          <w:sz w:val="24"/>
          <w:szCs w:val="24"/>
        </w:rPr>
        <w:t xml:space="preserve">may </w:t>
      </w:r>
      <w:r w:rsidR="00400CE2">
        <w:rPr>
          <w:rFonts w:ascii="Times New Roman" w:hAnsi="Times New Roman" w:cs="Times New Roman"/>
          <w:sz w:val="24"/>
          <w:szCs w:val="24"/>
        </w:rPr>
        <w:t>provide</w:t>
      </w:r>
      <w:r w:rsidR="00200630" w:rsidRPr="002D78EB">
        <w:rPr>
          <w:rFonts w:ascii="Times New Roman" w:hAnsi="Times New Roman" w:cs="Times New Roman"/>
          <w:sz w:val="24"/>
          <w:szCs w:val="24"/>
        </w:rPr>
        <w:t xml:space="preserve"> for th</w:t>
      </w:r>
      <w:r>
        <w:rPr>
          <w:rFonts w:ascii="Times New Roman" w:hAnsi="Times New Roman" w:cs="Times New Roman"/>
          <w:sz w:val="24"/>
          <w:szCs w:val="24"/>
        </w:rPr>
        <w:t>e reasonable remuneration of</w:t>
      </w:r>
      <w:r w:rsidR="00200630" w:rsidRPr="002D78EB">
        <w:rPr>
          <w:rFonts w:ascii="Times New Roman" w:hAnsi="Times New Roman" w:cs="Times New Roman"/>
          <w:sz w:val="24"/>
          <w:szCs w:val="24"/>
        </w:rPr>
        <w:t xml:space="preserve"> claimant</w:t>
      </w:r>
      <w:r>
        <w:rPr>
          <w:rFonts w:ascii="Times New Roman" w:hAnsi="Times New Roman" w:cs="Times New Roman"/>
          <w:sz w:val="24"/>
          <w:szCs w:val="24"/>
        </w:rPr>
        <w:t xml:space="preserve">s who have provided </w:t>
      </w:r>
      <w:r w:rsidR="00200630" w:rsidRPr="002D78EB">
        <w:rPr>
          <w:rFonts w:ascii="Times New Roman" w:hAnsi="Times New Roman" w:cs="Times New Roman"/>
          <w:sz w:val="24"/>
          <w:szCs w:val="24"/>
        </w:rPr>
        <w:t>service</w:t>
      </w:r>
      <w:r>
        <w:rPr>
          <w:rFonts w:ascii="Times New Roman" w:hAnsi="Times New Roman" w:cs="Times New Roman"/>
          <w:sz w:val="24"/>
          <w:szCs w:val="24"/>
        </w:rPr>
        <w:t>s</w:t>
      </w:r>
      <w:r w:rsidR="00200630" w:rsidRPr="002D78EB">
        <w:rPr>
          <w:rFonts w:ascii="Times New Roman" w:hAnsi="Times New Roman" w:cs="Times New Roman"/>
          <w:sz w:val="24"/>
          <w:szCs w:val="24"/>
        </w:rPr>
        <w:t xml:space="preserve"> to the defendant, either through implied t</w:t>
      </w:r>
      <w:r>
        <w:rPr>
          <w:rFonts w:ascii="Times New Roman" w:hAnsi="Times New Roman" w:cs="Times New Roman"/>
          <w:sz w:val="24"/>
          <w:szCs w:val="24"/>
        </w:rPr>
        <w:t>erms or an implied contract,</w:t>
      </w:r>
      <w:r w:rsidR="00200630" w:rsidRPr="002D78EB">
        <w:rPr>
          <w:rFonts w:ascii="Times New Roman" w:hAnsi="Times New Roman" w:cs="Times New Roman"/>
          <w:sz w:val="24"/>
          <w:szCs w:val="24"/>
        </w:rPr>
        <w:t xml:space="preserve"> the law of contract does not provide a complete regime for recovery. There will still be circumstances where an obligation to pay for the services arises outside of the law of contract, either because there is no applicable contractual regime or because the claimant has opted to bring a claim outside of that regime. It is then necessary to identify the basis for bringing such a </w:t>
      </w:r>
      <w:r>
        <w:rPr>
          <w:rFonts w:ascii="Times New Roman" w:hAnsi="Times New Roman" w:cs="Times New Roman"/>
          <w:sz w:val="24"/>
          <w:szCs w:val="24"/>
        </w:rPr>
        <w:t>non-contractual claim</w:t>
      </w:r>
      <w:r w:rsidR="00200630" w:rsidRPr="002D78EB">
        <w:rPr>
          <w:rFonts w:ascii="Times New Roman" w:hAnsi="Times New Roman" w:cs="Times New Roman"/>
          <w:sz w:val="24"/>
          <w:szCs w:val="24"/>
        </w:rPr>
        <w:t>.</w:t>
      </w:r>
    </w:p>
    <w:p w:rsidR="00200630" w:rsidRPr="00821EE5" w:rsidRDefault="00200630" w:rsidP="00821EE5">
      <w:pPr>
        <w:rPr>
          <w:rFonts w:ascii="Times New Roman" w:hAnsi="Times New Roman" w:cs="Times New Roman"/>
          <w:i/>
          <w:sz w:val="24"/>
          <w:szCs w:val="24"/>
        </w:rPr>
      </w:pPr>
      <w:r w:rsidRPr="002D78EB">
        <w:rPr>
          <w:rFonts w:ascii="Times New Roman" w:hAnsi="Times New Roman" w:cs="Times New Roman"/>
          <w:i/>
          <w:sz w:val="24"/>
          <w:szCs w:val="24"/>
        </w:rPr>
        <w:t xml:space="preserve">(b) </w:t>
      </w:r>
      <w:r w:rsidRPr="00C236AF">
        <w:rPr>
          <w:rFonts w:ascii="Times New Roman" w:hAnsi="Times New Roman" w:cs="Times New Roman"/>
          <w:i/>
          <w:sz w:val="24"/>
          <w:szCs w:val="24"/>
        </w:rPr>
        <w:t>Unjus</w:t>
      </w:r>
      <w:r w:rsidRPr="00821EE5">
        <w:rPr>
          <w:rFonts w:ascii="Times New Roman" w:hAnsi="Times New Roman" w:cs="Times New Roman"/>
          <w:i/>
          <w:sz w:val="24"/>
          <w:szCs w:val="24"/>
        </w:rPr>
        <w:t>t enrichment</w:t>
      </w:r>
    </w:p>
    <w:p w:rsidR="00C50F45" w:rsidRPr="00821EE5" w:rsidRDefault="00200630" w:rsidP="00821EE5">
      <w:pPr>
        <w:rPr>
          <w:rFonts w:ascii="Times New Roman" w:hAnsi="Times New Roman" w:cs="Times New Roman"/>
          <w:sz w:val="24"/>
          <w:szCs w:val="24"/>
        </w:rPr>
      </w:pPr>
      <w:r w:rsidRPr="00821EE5">
        <w:rPr>
          <w:rFonts w:ascii="Times New Roman" w:hAnsi="Times New Roman" w:cs="Times New Roman"/>
          <w:sz w:val="24"/>
          <w:szCs w:val="24"/>
        </w:rPr>
        <w:t xml:space="preserve">That unjust enrichment does have a role to play in determining liability for the provision of services is supported by </w:t>
      </w:r>
      <w:r w:rsidRPr="00821EE5">
        <w:rPr>
          <w:rFonts w:ascii="Times New Roman" w:hAnsi="Times New Roman" w:cs="Times New Roman"/>
          <w:i/>
          <w:sz w:val="24"/>
          <w:szCs w:val="24"/>
        </w:rPr>
        <w:t xml:space="preserve">Yeoman’s Row v </w:t>
      </w:r>
      <w:proofErr w:type="spellStart"/>
      <w:r w:rsidRPr="00821EE5">
        <w:rPr>
          <w:rFonts w:ascii="Times New Roman" w:hAnsi="Times New Roman" w:cs="Times New Roman"/>
          <w:i/>
          <w:sz w:val="24"/>
          <w:szCs w:val="24"/>
        </w:rPr>
        <w:t>Cobbe</w:t>
      </w:r>
      <w:proofErr w:type="spellEnd"/>
      <w:r w:rsidRPr="00821EE5">
        <w:rPr>
          <w:rFonts w:ascii="Times New Roman" w:hAnsi="Times New Roman" w:cs="Times New Roman"/>
          <w:sz w:val="24"/>
          <w:szCs w:val="24"/>
        </w:rPr>
        <w:t xml:space="preserve"> itself. For Lord Scott in that case recognised that one of the routes to obtain a remedy was in unjust enrichment, although he failed to identify all the elements of such a claim satisfactorily. </w:t>
      </w:r>
      <w:r w:rsidR="00C236AF" w:rsidRPr="00821EE5">
        <w:rPr>
          <w:rFonts w:ascii="Times New Roman" w:hAnsi="Times New Roman" w:cs="Times New Roman"/>
          <w:sz w:val="24"/>
          <w:szCs w:val="24"/>
        </w:rPr>
        <w:t xml:space="preserve">Subsequent decisions have recognised explicitly that a claim in unjust enrichment is available where the defendant has benefited from the claimant’s services. The leading case now is </w:t>
      </w:r>
      <w:r w:rsidR="00C236AF" w:rsidRPr="00821EE5">
        <w:rPr>
          <w:rFonts w:ascii="Times New Roman" w:hAnsi="Times New Roman" w:cs="Times New Roman"/>
          <w:i/>
          <w:sz w:val="24"/>
          <w:szCs w:val="24"/>
        </w:rPr>
        <w:t xml:space="preserve">Benedetti v </w:t>
      </w:r>
      <w:proofErr w:type="spellStart"/>
      <w:r w:rsidR="00C236AF" w:rsidRPr="00821EE5">
        <w:rPr>
          <w:rFonts w:ascii="Times New Roman" w:hAnsi="Times New Roman" w:cs="Times New Roman"/>
          <w:i/>
          <w:sz w:val="24"/>
          <w:szCs w:val="24"/>
        </w:rPr>
        <w:t>Sawiris</w:t>
      </w:r>
      <w:proofErr w:type="spellEnd"/>
      <w:r w:rsidR="00C236AF" w:rsidRPr="00821EE5">
        <w:rPr>
          <w:rFonts w:ascii="Times New Roman" w:hAnsi="Times New Roman" w:cs="Times New Roman"/>
          <w:sz w:val="24"/>
          <w:szCs w:val="24"/>
        </w:rPr>
        <w:t>,</w:t>
      </w:r>
      <w:r w:rsidR="00C236AF" w:rsidRPr="00821EE5">
        <w:rPr>
          <w:rStyle w:val="FootnoteReference"/>
          <w:rFonts w:ascii="Times New Roman" w:hAnsi="Times New Roman" w:cs="Times New Roman"/>
          <w:sz w:val="24"/>
          <w:szCs w:val="24"/>
        </w:rPr>
        <w:footnoteReference w:id="42"/>
      </w:r>
      <w:r w:rsidR="00C236AF" w:rsidRPr="00821EE5">
        <w:rPr>
          <w:rFonts w:ascii="Times New Roman" w:hAnsi="Times New Roman" w:cs="Times New Roman"/>
          <w:sz w:val="24"/>
          <w:szCs w:val="24"/>
        </w:rPr>
        <w:t xml:space="preserve"> where the claimant had provided services for the benefit of the defendant anticipating that he would be paid under a contract which was not concluded. Although the decision of the Supreme Court was that the claimant could not recover from the defendant, because the defendant’s liability was considered to have been discharged by previous payments, that the defendant was liable in unjust enrichment was accepted</w:t>
      </w:r>
      <w:r w:rsidR="007A4E08">
        <w:rPr>
          <w:rFonts w:ascii="Times New Roman" w:hAnsi="Times New Roman" w:cs="Times New Roman"/>
          <w:sz w:val="24"/>
          <w:szCs w:val="24"/>
        </w:rPr>
        <w:t>.</w:t>
      </w:r>
      <w:r w:rsidR="00C236AF" w:rsidRPr="00821EE5">
        <w:rPr>
          <w:rFonts w:ascii="Times New Roman" w:hAnsi="Times New Roman" w:cs="Times New Roman"/>
          <w:sz w:val="24"/>
          <w:szCs w:val="24"/>
        </w:rPr>
        <w:t xml:space="preserve"> </w:t>
      </w:r>
    </w:p>
    <w:p w:rsidR="00524DE0" w:rsidRDefault="0082184F" w:rsidP="00821EE5">
      <w:pPr>
        <w:ind w:left="60"/>
        <w:rPr>
          <w:rFonts w:ascii="Times New Roman" w:hAnsi="Times New Roman" w:cs="Times New Roman"/>
          <w:sz w:val="24"/>
          <w:szCs w:val="24"/>
        </w:rPr>
      </w:pPr>
      <w:r w:rsidRPr="00821EE5">
        <w:rPr>
          <w:rFonts w:ascii="Times New Roman" w:hAnsi="Times New Roman" w:cs="Times New Roman"/>
          <w:sz w:val="24"/>
          <w:szCs w:val="24"/>
        </w:rPr>
        <w:tab/>
        <w:t>To establish that the defendant has been unjustly enriched the claimant needs to show that the defendant received an enrichment, at the expense of the claimant, within one of the recognised circumstances of injustice, and none of the defences to such a claim apply.</w:t>
      </w:r>
      <w:r w:rsidRPr="00821EE5">
        <w:rPr>
          <w:rStyle w:val="FootnoteReference"/>
          <w:rFonts w:ascii="Times New Roman" w:hAnsi="Times New Roman" w:cs="Times New Roman"/>
          <w:bCs/>
          <w:color w:val="000000"/>
          <w:position w:val="6"/>
          <w:sz w:val="24"/>
          <w:szCs w:val="24"/>
        </w:rPr>
        <w:footnoteReference w:id="43"/>
      </w:r>
      <w:r w:rsidRPr="00821EE5">
        <w:rPr>
          <w:rFonts w:ascii="Times New Roman" w:hAnsi="Times New Roman" w:cs="Times New Roman"/>
          <w:sz w:val="24"/>
          <w:szCs w:val="24"/>
        </w:rPr>
        <w:t xml:space="preserve"> </w:t>
      </w:r>
    </w:p>
    <w:p w:rsidR="00524DE0" w:rsidRPr="00524DE0" w:rsidRDefault="00524DE0" w:rsidP="00821EE5">
      <w:pPr>
        <w:ind w:left="60"/>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Enrichment</w:t>
      </w:r>
    </w:p>
    <w:p w:rsidR="0082184F" w:rsidRPr="00821EE5" w:rsidRDefault="0082184F" w:rsidP="00821EE5">
      <w:pPr>
        <w:ind w:left="60"/>
        <w:rPr>
          <w:rFonts w:ascii="Times New Roman" w:hAnsi="Times New Roman" w:cs="Times New Roman"/>
          <w:sz w:val="24"/>
          <w:szCs w:val="24"/>
        </w:rPr>
      </w:pPr>
      <w:r w:rsidRPr="00821EE5">
        <w:rPr>
          <w:rFonts w:ascii="Times New Roman" w:hAnsi="Times New Roman" w:cs="Times New Roman"/>
          <w:sz w:val="24"/>
          <w:szCs w:val="24"/>
        </w:rPr>
        <w:t xml:space="preserve">First, it needs to be shown that the defendant has received a valuable service from the claimant such that the defendant can be considered to be enriched by it. Following the decision of the Supreme Court in </w:t>
      </w:r>
      <w:r w:rsidRPr="00821EE5">
        <w:rPr>
          <w:rFonts w:ascii="Times New Roman" w:hAnsi="Times New Roman" w:cs="Times New Roman"/>
          <w:i/>
          <w:sz w:val="24"/>
          <w:szCs w:val="24"/>
        </w:rPr>
        <w:t xml:space="preserve">Benedetti v </w:t>
      </w:r>
      <w:proofErr w:type="spellStart"/>
      <w:r w:rsidRPr="00821EE5">
        <w:rPr>
          <w:rFonts w:ascii="Times New Roman" w:hAnsi="Times New Roman" w:cs="Times New Roman"/>
          <w:i/>
          <w:sz w:val="24"/>
          <w:szCs w:val="24"/>
        </w:rPr>
        <w:t>Sawiris</w:t>
      </w:r>
      <w:proofErr w:type="spellEnd"/>
      <w:r w:rsidRPr="00821EE5">
        <w:rPr>
          <w:rFonts w:ascii="Times New Roman" w:hAnsi="Times New Roman" w:cs="Times New Roman"/>
          <w:sz w:val="24"/>
          <w:szCs w:val="24"/>
        </w:rPr>
        <w:t>,</w:t>
      </w:r>
      <w:r w:rsidRPr="00821EE5">
        <w:rPr>
          <w:rStyle w:val="FootnoteReference"/>
          <w:rFonts w:ascii="Times New Roman" w:hAnsi="Times New Roman" w:cs="Times New Roman"/>
          <w:sz w:val="24"/>
          <w:szCs w:val="24"/>
        </w:rPr>
        <w:footnoteReference w:id="44"/>
      </w:r>
      <w:r w:rsidRPr="00821EE5">
        <w:rPr>
          <w:rFonts w:ascii="Times New Roman" w:hAnsi="Times New Roman" w:cs="Times New Roman"/>
          <w:sz w:val="24"/>
          <w:szCs w:val="24"/>
        </w:rPr>
        <w:t xml:space="preserve"> when determining whether the defendant has been enriched, it is necessary to adopt an objective and subjective test of enrichment. The objective test has two components</w:t>
      </w:r>
      <w:r w:rsidR="00821EE5">
        <w:rPr>
          <w:rFonts w:ascii="Times New Roman" w:hAnsi="Times New Roman" w:cs="Times New Roman"/>
          <w:sz w:val="24"/>
          <w:szCs w:val="24"/>
        </w:rPr>
        <w:t xml:space="preserve">, which were described by Lord Reed as </w:t>
      </w:r>
      <w:r w:rsidR="00821EE5" w:rsidRPr="00821EE5">
        <w:rPr>
          <w:rFonts w:ascii="Times New Roman" w:hAnsi="Times New Roman" w:cs="Times New Roman"/>
          <w:sz w:val="24"/>
          <w:szCs w:val="24"/>
        </w:rPr>
        <w:t>the ‘ordinary market value’ and the ‘objective value of the benefit’.</w:t>
      </w:r>
      <w:r w:rsidR="00821EE5" w:rsidRPr="00821EE5">
        <w:rPr>
          <w:rStyle w:val="FootnoteReference"/>
          <w:rFonts w:ascii="Times New Roman" w:hAnsi="Times New Roman" w:cs="Times New Roman"/>
          <w:sz w:val="24"/>
          <w:szCs w:val="24"/>
        </w:rPr>
        <w:footnoteReference w:id="45"/>
      </w:r>
      <w:r w:rsidR="00821EE5" w:rsidRPr="00821EE5">
        <w:rPr>
          <w:rFonts w:ascii="Times New Roman" w:hAnsi="Times New Roman" w:cs="Times New Roman"/>
          <w:sz w:val="24"/>
          <w:szCs w:val="24"/>
        </w:rPr>
        <w:t xml:space="preserve"> The former is the price which would have been agreed in the market in the absence of some unusual characteristic of the purchaser, whereas the latter is the value of the benefit to the reasonable person in the position of the defendant which would have been taken into account by the market and which may be higher or lower than the ordinary market value. Usually both values will be the same, and it will be sufficient to assess what it would have cost a reasonable person to acquire the goods or services elsewhere in the market. The objective value of the benefit may be higher or lower than the ordinary market value by virtue of the defendant’s position, so it is necessary to consider what aspects of the defendant’s position would be taken into account by the market. The defendant’s position does not include characteristics such as his or her generous or parsimonious personality,</w:t>
      </w:r>
      <w:r w:rsidR="00821EE5" w:rsidRPr="00821EE5">
        <w:rPr>
          <w:rStyle w:val="FootnoteReference"/>
          <w:rFonts w:ascii="Times New Roman" w:hAnsi="Times New Roman" w:cs="Times New Roman"/>
          <w:sz w:val="24"/>
          <w:szCs w:val="24"/>
        </w:rPr>
        <w:footnoteReference w:id="46"/>
      </w:r>
      <w:r w:rsidR="00821EE5" w:rsidRPr="00821EE5">
        <w:rPr>
          <w:rFonts w:ascii="Times New Roman" w:hAnsi="Times New Roman" w:cs="Times New Roman"/>
          <w:sz w:val="24"/>
          <w:szCs w:val="24"/>
        </w:rPr>
        <w:t xml:space="preserve"> but will include, for example, the defendant’s buying power in the market which enables him or her to negotiate a lower price, the defendant’s credit rating and even, according to Lord Reed,</w:t>
      </w:r>
      <w:r w:rsidR="00821EE5" w:rsidRPr="00821EE5">
        <w:rPr>
          <w:rStyle w:val="FootnoteReference"/>
          <w:rFonts w:ascii="Times New Roman" w:hAnsi="Times New Roman" w:cs="Times New Roman"/>
          <w:sz w:val="24"/>
          <w:szCs w:val="24"/>
        </w:rPr>
        <w:footnoteReference w:id="47"/>
      </w:r>
      <w:r w:rsidR="00821EE5" w:rsidRPr="00821EE5">
        <w:rPr>
          <w:rFonts w:ascii="Times New Roman" w:hAnsi="Times New Roman" w:cs="Times New Roman"/>
          <w:sz w:val="24"/>
          <w:szCs w:val="24"/>
        </w:rPr>
        <w:t xml:space="preserve"> the defendant’s age, gender, occupation and state of health. </w:t>
      </w:r>
    </w:p>
    <w:p w:rsidR="0082184F" w:rsidRPr="002D78EB" w:rsidRDefault="00821EE5" w:rsidP="00821EE5">
      <w:pPr>
        <w:ind w:left="60"/>
        <w:rPr>
          <w:rFonts w:ascii="Times New Roman" w:hAnsi="Times New Roman" w:cs="Times New Roman"/>
          <w:sz w:val="24"/>
          <w:szCs w:val="24"/>
        </w:rPr>
      </w:pPr>
      <w:r w:rsidRPr="00821EE5">
        <w:rPr>
          <w:rFonts w:ascii="Times New Roman" w:hAnsi="Times New Roman" w:cs="Times New Roman"/>
          <w:sz w:val="24"/>
          <w:szCs w:val="24"/>
        </w:rPr>
        <w:tab/>
        <w:t>Once it has been established that the defendant had been objectively enriched, it is then open to the defendant to subjectively devalue this enrichment</w:t>
      </w:r>
      <w:r>
        <w:rPr>
          <w:rFonts w:ascii="Times New Roman" w:hAnsi="Times New Roman" w:cs="Times New Roman"/>
          <w:sz w:val="24"/>
          <w:szCs w:val="24"/>
        </w:rPr>
        <w:t xml:space="preserve">. This was formally </w:t>
      </w:r>
      <w:r w:rsidRPr="00821EE5">
        <w:rPr>
          <w:rFonts w:ascii="Times New Roman" w:hAnsi="Times New Roman" w:cs="Times New Roman"/>
          <w:sz w:val="24"/>
          <w:szCs w:val="24"/>
        </w:rPr>
        <w:t xml:space="preserve">recognised by a majority in </w:t>
      </w:r>
      <w:r w:rsidRPr="00821EE5">
        <w:rPr>
          <w:rFonts w:ascii="Times New Roman" w:hAnsi="Times New Roman" w:cs="Times New Roman"/>
          <w:i/>
          <w:sz w:val="24"/>
          <w:szCs w:val="24"/>
        </w:rPr>
        <w:t xml:space="preserve">Benedetti v </w:t>
      </w:r>
      <w:proofErr w:type="spellStart"/>
      <w:r w:rsidRPr="00821EE5">
        <w:rPr>
          <w:rFonts w:ascii="Times New Roman" w:hAnsi="Times New Roman" w:cs="Times New Roman"/>
          <w:i/>
          <w:sz w:val="24"/>
          <w:szCs w:val="24"/>
        </w:rPr>
        <w:t>Sawiris</w:t>
      </w:r>
      <w:proofErr w:type="spellEnd"/>
      <w:r w:rsidRPr="00821EE5">
        <w:rPr>
          <w:rFonts w:ascii="Times New Roman" w:hAnsi="Times New Roman" w:cs="Times New Roman"/>
          <w:sz w:val="24"/>
          <w:szCs w:val="24"/>
        </w:rPr>
        <w:t>,</w:t>
      </w:r>
      <w:r w:rsidRPr="00821EE5">
        <w:rPr>
          <w:rStyle w:val="FootnoteReference"/>
          <w:rFonts w:ascii="Times New Roman" w:hAnsi="Times New Roman" w:cs="Times New Roman"/>
          <w:sz w:val="24"/>
          <w:szCs w:val="24"/>
        </w:rPr>
        <w:footnoteReference w:id="48"/>
      </w:r>
      <w:r w:rsidRPr="00821EE5">
        <w:rPr>
          <w:rFonts w:ascii="Times New Roman" w:hAnsi="Times New Roman" w:cs="Times New Roman"/>
          <w:sz w:val="24"/>
          <w:szCs w:val="24"/>
        </w:rPr>
        <w:t xml:space="preserve"> who held that the objective value of the benefit may be reduced with reference to the defendant’s own personal preferences and idiosyncratic views as to the value of the enrichment. </w:t>
      </w:r>
      <w:r>
        <w:rPr>
          <w:rFonts w:ascii="Times New Roman" w:hAnsi="Times New Roman" w:cs="Times New Roman"/>
          <w:sz w:val="24"/>
          <w:szCs w:val="24"/>
        </w:rPr>
        <w:t xml:space="preserve">Reliance on subjective devaluation will itself be defeated, however, if the benefit was incontrovertibly beneficial or had been requested or freely accepted by the defendant. </w:t>
      </w:r>
      <w:r w:rsidR="0082184F" w:rsidRPr="002D78EB">
        <w:rPr>
          <w:rFonts w:ascii="Times New Roman" w:hAnsi="Times New Roman" w:cs="Times New Roman"/>
          <w:sz w:val="24"/>
          <w:szCs w:val="24"/>
        </w:rPr>
        <w:t>The provision of a service will be incontrovertibly beneficial to the defendant where</w:t>
      </w:r>
      <w:r w:rsidR="00EF7ABE">
        <w:rPr>
          <w:rFonts w:ascii="Times New Roman" w:hAnsi="Times New Roman" w:cs="Times New Roman"/>
          <w:sz w:val="24"/>
          <w:szCs w:val="24"/>
        </w:rPr>
        <w:t>, for example,</w:t>
      </w:r>
      <w:r w:rsidR="0082184F" w:rsidRPr="002D78EB">
        <w:rPr>
          <w:rFonts w:ascii="Times New Roman" w:hAnsi="Times New Roman" w:cs="Times New Roman"/>
          <w:sz w:val="24"/>
          <w:szCs w:val="24"/>
        </w:rPr>
        <w:t xml:space="preserve"> he or she has been saved an expense which would inevitably have been incurred had the service not been provided,</w:t>
      </w:r>
      <w:r w:rsidR="0082184F" w:rsidRPr="002D78EB">
        <w:rPr>
          <w:rStyle w:val="FootnoteReference"/>
          <w:rFonts w:ascii="Times New Roman" w:hAnsi="Times New Roman" w:cs="Times New Roman"/>
          <w:sz w:val="24"/>
          <w:szCs w:val="24"/>
        </w:rPr>
        <w:footnoteReference w:id="49"/>
      </w:r>
      <w:r w:rsidR="0082184F" w:rsidRPr="002D78EB">
        <w:rPr>
          <w:rFonts w:ascii="Times New Roman" w:hAnsi="Times New Roman" w:cs="Times New Roman"/>
          <w:sz w:val="24"/>
          <w:szCs w:val="24"/>
        </w:rPr>
        <w:t xml:space="preserve"> or the service has been realised in money, for example by the sale of a car which has been repaired and improved by the claimant as a result of which the value increased.</w:t>
      </w:r>
      <w:r w:rsidR="0082184F" w:rsidRPr="002D78EB">
        <w:rPr>
          <w:rStyle w:val="FootnoteReference"/>
          <w:rFonts w:ascii="Times New Roman" w:hAnsi="Times New Roman" w:cs="Times New Roman"/>
          <w:sz w:val="24"/>
          <w:szCs w:val="24"/>
        </w:rPr>
        <w:footnoteReference w:id="50"/>
      </w:r>
      <w:r w:rsidR="0082184F" w:rsidRPr="002D78EB">
        <w:rPr>
          <w:rFonts w:ascii="Times New Roman" w:hAnsi="Times New Roman" w:cs="Times New Roman"/>
          <w:sz w:val="24"/>
          <w:szCs w:val="24"/>
        </w:rPr>
        <w:t xml:space="preserve"> A number of cases which have considered the ambit of a claim in </w:t>
      </w:r>
      <w:r w:rsidR="0082184F" w:rsidRPr="002D78EB">
        <w:rPr>
          <w:rFonts w:ascii="Times New Roman" w:hAnsi="Times New Roman" w:cs="Times New Roman"/>
          <w:i/>
          <w:sz w:val="24"/>
          <w:szCs w:val="24"/>
        </w:rPr>
        <w:t xml:space="preserve">quantum </w:t>
      </w:r>
      <w:proofErr w:type="spellStart"/>
      <w:r w:rsidR="0082184F" w:rsidRPr="002D78EB">
        <w:rPr>
          <w:rFonts w:ascii="Times New Roman" w:hAnsi="Times New Roman" w:cs="Times New Roman"/>
          <w:i/>
          <w:sz w:val="24"/>
          <w:szCs w:val="24"/>
        </w:rPr>
        <w:t>meruit</w:t>
      </w:r>
      <w:proofErr w:type="spellEnd"/>
      <w:r w:rsidR="0082184F" w:rsidRPr="002D78EB">
        <w:rPr>
          <w:rFonts w:ascii="Times New Roman" w:hAnsi="Times New Roman" w:cs="Times New Roman"/>
          <w:sz w:val="24"/>
          <w:szCs w:val="24"/>
        </w:rPr>
        <w:t xml:space="preserve"> have specifically used the test of free acceptance to show that the service was beneficial to the defendant.</w:t>
      </w:r>
      <w:r w:rsidR="0082184F" w:rsidRPr="002D78EB">
        <w:rPr>
          <w:rStyle w:val="FootnoteReference"/>
          <w:rFonts w:ascii="Times New Roman" w:hAnsi="Times New Roman" w:cs="Times New Roman"/>
          <w:sz w:val="24"/>
          <w:szCs w:val="24"/>
        </w:rPr>
        <w:footnoteReference w:id="51"/>
      </w:r>
      <w:r w:rsidR="0082184F" w:rsidRPr="002D78EB">
        <w:rPr>
          <w:rFonts w:ascii="Times New Roman" w:hAnsi="Times New Roman" w:cs="Times New Roman"/>
          <w:sz w:val="24"/>
          <w:szCs w:val="24"/>
        </w:rPr>
        <w:t xml:space="preserve"> Free acceptance will be established where the defendant had the opportunity to reject the service,</w:t>
      </w:r>
      <w:r w:rsidR="0082184F" w:rsidRPr="002D78EB">
        <w:rPr>
          <w:rStyle w:val="FootnoteReference"/>
          <w:rFonts w:ascii="Times New Roman" w:hAnsi="Times New Roman" w:cs="Times New Roman"/>
          <w:sz w:val="24"/>
          <w:szCs w:val="24"/>
        </w:rPr>
        <w:footnoteReference w:id="52"/>
      </w:r>
      <w:r w:rsidR="0082184F" w:rsidRPr="002D78EB">
        <w:rPr>
          <w:rFonts w:ascii="Times New Roman" w:hAnsi="Times New Roman" w:cs="Times New Roman"/>
          <w:sz w:val="24"/>
          <w:szCs w:val="24"/>
        </w:rPr>
        <w:t xml:space="preserve"> knowing that the service was not provided gratuitously</w:t>
      </w:r>
      <w:r w:rsidR="0082184F" w:rsidRPr="002D78EB">
        <w:rPr>
          <w:rStyle w:val="FootnoteReference"/>
          <w:rFonts w:ascii="Times New Roman" w:hAnsi="Times New Roman" w:cs="Times New Roman"/>
          <w:sz w:val="24"/>
          <w:szCs w:val="24"/>
        </w:rPr>
        <w:footnoteReference w:id="53"/>
      </w:r>
      <w:r w:rsidR="0082184F" w:rsidRPr="002D78EB">
        <w:rPr>
          <w:rFonts w:ascii="Times New Roman" w:hAnsi="Times New Roman" w:cs="Times New Roman"/>
          <w:sz w:val="24"/>
          <w:szCs w:val="24"/>
        </w:rPr>
        <w:t xml:space="preserve"> and failed to reject it.</w:t>
      </w:r>
    </w:p>
    <w:p w:rsidR="00524DE0" w:rsidRDefault="0082184F" w:rsidP="0082184F">
      <w:pPr>
        <w:ind w:firstLine="720"/>
        <w:rPr>
          <w:rFonts w:ascii="Times New Roman" w:hAnsi="Times New Roman" w:cs="Times New Roman"/>
          <w:sz w:val="24"/>
          <w:szCs w:val="24"/>
        </w:rPr>
      </w:pPr>
      <w:r w:rsidRPr="002D78EB">
        <w:rPr>
          <w:rFonts w:ascii="Times New Roman" w:hAnsi="Times New Roman" w:cs="Times New Roman"/>
          <w:sz w:val="24"/>
          <w:szCs w:val="24"/>
        </w:rPr>
        <w:t xml:space="preserve">It follows from the requirement that the defendant must have received a benefit that the defendant cannot be considered to have been enriched simply because the claimant commenced work in providing a service. But not every case is necessarily consistent with this principle. This is famously illustrated by </w:t>
      </w:r>
      <w:proofErr w:type="spellStart"/>
      <w:r w:rsidRPr="002D78EB">
        <w:rPr>
          <w:rFonts w:ascii="Times New Roman" w:hAnsi="Times New Roman" w:cs="Times New Roman"/>
          <w:i/>
          <w:sz w:val="24"/>
          <w:szCs w:val="24"/>
        </w:rPr>
        <w:t>Planché</w:t>
      </w:r>
      <w:proofErr w:type="spellEnd"/>
      <w:r w:rsidRPr="002D78EB">
        <w:rPr>
          <w:rFonts w:ascii="Times New Roman" w:hAnsi="Times New Roman" w:cs="Times New Roman"/>
          <w:sz w:val="24"/>
          <w:szCs w:val="24"/>
        </w:rPr>
        <w:t xml:space="preserve"> </w:t>
      </w:r>
      <w:r w:rsidRPr="002D78EB">
        <w:rPr>
          <w:rFonts w:ascii="Times New Roman" w:hAnsi="Times New Roman" w:cs="Times New Roman"/>
          <w:i/>
          <w:iCs/>
          <w:sz w:val="24"/>
          <w:szCs w:val="24"/>
        </w:rPr>
        <w:t>v</w:t>
      </w:r>
      <w:r w:rsidRPr="002D78EB">
        <w:rPr>
          <w:rFonts w:ascii="Times New Roman" w:hAnsi="Times New Roman" w:cs="Times New Roman"/>
          <w:sz w:val="24"/>
          <w:szCs w:val="24"/>
        </w:rPr>
        <w:t xml:space="preserve"> </w:t>
      </w:r>
      <w:r w:rsidRPr="002D78EB">
        <w:rPr>
          <w:rFonts w:ascii="Times New Roman" w:hAnsi="Times New Roman" w:cs="Times New Roman"/>
          <w:i/>
          <w:sz w:val="24"/>
          <w:szCs w:val="24"/>
        </w:rPr>
        <w:t>Colburn</w:t>
      </w:r>
      <w:r w:rsidRPr="002D78EB">
        <w:rPr>
          <w:rFonts w:ascii="Times New Roman" w:hAnsi="Times New Roman" w:cs="Times New Roman"/>
          <w:sz w:val="24"/>
          <w:szCs w:val="24"/>
        </w:rPr>
        <w:t>,</w:t>
      </w:r>
      <w:r w:rsidRPr="002D78EB">
        <w:rPr>
          <w:rStyle w:val="FootnoteReference"/>
          <w:rFonts w:ascii="Times New Roman" w:hAnsi="Times New Roman" w:cs="Times New Roman"/>
          <w:sz w:val="24"/>
          <w:szCs w:val="24"/>
        </w:rPr>
        <w:footnoteReference w:id="54"/>
      </w:r>
      <w:r w:rsidRPr="002D78EB">
        <w:rPr>
          <w:rFonts w:ascii="Times New Roman" w:hAnsi="Times New Roman" w:cs="Times New Roman"/>
          <w:sz w:val="24"/>
          <w:szCs w:val="24"/>
        </w:rPr>
        <w:t xml:space="preserve"> where the defendants engaged </w:t>
      </w:r>
      <w:proofErr w:type="spellStart"/>
      <w:r w:rsidRPr="002D78EB">
        <w:rPr>
          <w:rFonts w:ascii="Times New Roman" w:hAnsi="Times New Roman" w:cs="Times New Roman"/>
          <w:sz w:val="24"/>
          <w:szCs w:val="24"/>
        </w:rPr>
        <w:t>Planché</w:t>
      </w:r>
      <w:proofErr w:type="spellEnd"/>
      <w:r w:rsidRPr="002D78EB">
        <w:rPr>
          <w:rFonts w:ascii="Times New Roman" w:hAnsi="Times New Roman" w:cs="Times New Roman"/>
          <w:sz w:val="24"/>
          <w:szCs w:val="24"/>
        </w:rPr>
        <w:t xml:space="preserve"> to write a volume for publication in the defendant’s proposed series of </w:t>
      </w:r>
      <w:r w:rsidRPr="002D78EB">
        <w:rPr>
          <w:rFonts w:ascii="Times New Roman" w:hAnsi="Times New Roman" w:cs="Times New Roman"/>
          <w:i/>
          <w:sz w:val="24"/>
          <w:szCs w:val="24"/>
        </w:rPr>
        <w:t>The Juvenile Library</w:t>
      </w:r>
      <w:r w:rsidRPr="002D78EB">
        <w:rPr>
          <w:rFonts w:ascii="Times New Roman" w:hAnsi="Times New Roman" w:cs="Times New Roman"/>
          <w:sz w:val="24"/>
          <w:szCs w:val="24"/>
        </w:rPr>
        <w:t xml:space="preserve">. After </w:t>
      </w:r>
      <w:proofErr w:type="spellStart"/>
      <w:r w:rsidRPr="002D78EB">
        <w:rPr>
          <w:rFonts w:ascii="Times New Roman" w:hAnsi="Times New Roman" w:cs="Times New Roman"/>
          <w:sz w:val="24"/>
          <w:szCs w:val="24"/>
        </w:rPr>
        <w:t>Planché</w:t>
      </w:r>
      <w:proofErr w:type="spellEnd"/>
      <w:r w:rsidRPr="002D78EB">
        <w:rPr>
          <w:rFonts w:ascii="Times New Roman" w:hAnsi="Times New Roman" w:cs="Times New Roman"/>
          <w:sz w:val="24"/>
          <w:szCs w:val="24"/>
        </w:rPr>
        <w:t xml:space="preserve"> had written some of his work, the defendants abandoned the whole publication, and it was held that </w:t>
      </w:r>
      <w:proofErr w:type="spellStart"/>
      <w:r w:rsidRPr="002D78EB">
        <w:rPr>
          <w:rFonts w:ascii="Times New Roman" w:hAnsi="Times New Roman" w:cs="Times New Roman"/>
          <w:sz w:val="24"/>
          <w:szCs w:val="24"/>
        </w:rPr>
        <w:t>Planché</w:t>
      </w:r>
      <w:proofErr w:type="spellEnd"/>
      <w:r w:rsidRPr="002D78EB">
        <w:rPr>
          <w:rFonts w:ascii="Times New Roman" w:hAnsi="Times New Roman" w:cs="Times New Roman"/>
          <w:sz w:val="24"/>
          <w:szCs w:val="24"/>
        </w:rPr>
        <w:t xml:space="preserve"> might, without tendering his completed work, sue to recover reasonable remuneration for his work already done. The court particularly stressed that the remedy was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and </w:t>
      </w:r>
      <w:r w:rsidR="00EF7ABE">
        <w:rPr>
          <w:rFonts w:ascii="Times New Roman" w:hAnsi="Times New Roman" w:cs="Times New Roman"/>
          <w:sz w:val="24"/>
          <w:szCs w:val="24"/>
        </w:rPr>
        <w:t xml:space="preserve">that </w:t>
      </w:r>
      <w:r w:rsidRPr="002D78EB">
        <w:rPr>
          <w:rFonts w:ascii="Times New Roman" w:hAnsi="Times New Roman" w:cs="Times New Roman"/>
          <w:sz w:val="24"/>
          <w:szCs w:val="24"/>
        </w:rPr>
        <w:t xml:space="preserve">this was not </w:t>
      </w:r>
      <w:r w:rsidR="00EF7ABE">
        <w:rPr>
          <w:rFonts w:ascii="Times New Roman" w:hAnsi="Times New Roman" w:cs="Times New Roman"/>
          <w:sz w:val="24"/>
          <w:szCs w:val="24"/>
        </w:rPr>
        <w:t xml:space="preserve">being </w:t>
      </w:r>
      <w:r w:rsidRPr="002D78EB">
        <w:rPr>
          <w:rFonts w:ascii="Times New Roman" w:hAnsi="Times New Roman" w:cs="Times New Roman"/>
          <w:sz w:val="24"/>
          <w:szCs w:val="24"/>
        </w:rPr>
        <w:t>awarded for breach of contract.</w:t>
      </w:r>
      <w:r w:rsidRPr="002D78EB">
        <w:rPr>
          <w:rStyle w:val="FootnoteReference"/>
          <w:rFonts w:ascii="Times New Roman" w:hAnsi="Times New Roman" w:cs="Times New Roman"/>
          <w:sz w:val="24"/>
          <w:szCs w:val="24"/>
        </w:rPr>
        <w:footnoteReference w:id="55"/>
      </w:r>
      <w:r w:rsidRPr="002D78EB">
        <w:rPr>
          <w:rFonts w:ascii="Times New Roman" w:hAnsi="Times New Roman" w:cs="Times New Roman"/>
          <w:sz w:val="24"/>
          <w:szCs w:val="24"/>
        </w:rPr>
        <w:t xml:space="preserve"> Since the defendant had not received a benefit this cannot be analysed as a claim within the law of unjust enrichment, since there was no gain to reverse. The remedy which was awarded could be justified if it is characterised as a remedy awarded to compensate for expenditure incurred in reliance on the contract, a measure of damages which is now clearly recognised for breach of contract,</w:t>
      </w:r>
      <w:r w:rsidRPr="002D78EB">
        <w:rPr>
          <w:rStyle w:val="FootnoteReference"/>
          <w:rFonts w:ascii="Times New Roman" w:hAnsi="Times New Roman" w:cs="Times New Roman"/>
          <w:sz w:val="24"/>
          <w:szCs w:val="24"/>
        </w:rPr>
        <w:footnoteReference w:id="56"/>
      </w:r>
      <w:r w:rsidRPr="002D78EB">
        <w:rPr>
          <w:rFonts w:ascii="Times New Roman" w:hAnsi="Times New Roman" w:cs="Times New Roman"/>
          <w:sz w:val="24"/>
          <w:szCs w:val="24"/>
        </w:rPr>
        <w:t xml:space="preserve"> although this flies in the face of the clear decision that the claim was not founded on breach of contract. Possibly instead this case should be used as authority for the recognition of a distinct claim in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Of course this would be easier to justify since the case was decided before 1852 when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was abolished as a form of action. </w:t>
      </w:r>
      <w:r w:rsidR="00EF7ABE">
        <w:rPr>
          <w:rFonts w:ascii="Times New Roman" w:hAnsi="Times New Roman" w:cs="Times New Roman"/>
          <w:sz w:val="24"/>
          <w:szCs w:val="24"/>
        </w:rPr>
        <w:t>Since then unjust enrichment has been recognised and, since the defendant had not been benefited, the claim should have failed.</w:t>
      </w:r>
    </w:p>
    <w:p w:rsidR="00524DE0" w:rsidRDefault="00524DE0" w:rsidP="00524DE0">
      <w:pPr>
        <w:rPr>
          <w:rFonts w:ascii="Times New Roman" w:hAnsi="Times New Roman" w:cs="Times New Roman"/>
          <w:i/>
          <w:sz w:val="24"/>
          <w:szCs w:val="24"/>
        </w:rPr>
      </w:pPr>
      <w:r>
        <w:rPr>
          <w:rFonts w:ascii="Times New Roman" w:hAnsi="Times New Roman" w:cs="Times New Roman"/>
          <w:i/>
          <w:sz w:val="24"/>
          <w:szCs w:val="24"/>
        </w:rPr>
        <w:t>(ii)</w:t>
      </w:r>
      <w:r>
        <w:rPr>
          <w:rFonts w:ascii="Times New Roman" w:hAnsi="Times New Roman" w:cs="Times New Roman"/>
          <w:i/>
          <w:sz w:val="24"/>
          <w:szCs w:val="24"/>
        </w:rPr>
        <w:tab/>
        <w:t>At the expense of the claimant</w:t>
      </w:r>
    </w:p>
    <w:p w:rsidR="007A4E08" w:rsidRDefault="007A4E08" w:rsidP="00524DE0">
      <w:pPr>
        <w:rPr>
          <w:rFonts w:ascii="Times New Roman" w:hAnsi="Times New Roman" w:cs="Times New Roman"/>
          <w:sz w:val="24"/>
          <w:szCs w:val="24"/>
        </w:rPr>
      </w:pPr>
      <w:r w:rsidRPr="00EF7ABE">
        <w:rPr>
          <w:rFonts w:ascii="Times New Roman" w:hAnsi="Times New Roman" w:cs="Times New Roman"/>
          <w:sz w:val="24"/>
          <w:szCs w:val="24"/>
        </w:rPr>
        <w:t xml:space="preserve">Secondly, </w:t>
      </w:r>
      <w:r w:rsidR="00EF7ABE">
        <w:rPr>
          <w:rFonts w:ascii="Times New Roman" w:hAnsi="Times New Roman" w:cs="Times New Roman"/>
          <w:sz w:val="24"/>
          <w:szCs w:val="24"/>
        </w:rPr>
        <w:t xml:space="preserve">it must be shown that the defendant was enriched </w:t>
      </w:r>
      <w:r w:rsidRPr="00EF7ABE">
        <w:rPr>
          <w:rFonts w:ascii="Times New Roman" w:hAnsi="Times New Roman" w:cs="Times New Roman"/>
          <w:sz w:val="24"/>
          <w:szCs w:val="24"/>
        </w:rPr>
        <w:t>at the expense of the claimant</w:t>
      </w:r>
      <w:r w:rsidR="00EF7ABE">
        <w:rPr>
          <w:rFonts w:ascii="Times New Roman" w:hAnsi="Times New Roman" w:cs="Times New Roman"/>
          <w:sz w:val="24"/>
          <w:szCs w:val="24"/>
        </w:rPr>
        <w:t>. Usually the defendant will have been enriched directly at the expense of the claimant,</w:t>
      </w:r>
      <w:r w:rsidR="008B07EF">
        <w:rPr>
          <w:rStyle w:val="FootnoteReference"/>
          <w:rFonts w:ascii="Times New Roman" w:hAnsi="Times New Roman" w:cs="Times New Roman"/>
          <w:sz w:val="24"/>
          <w:szCs w:val="24"/>
        </w:rPr>
        <w:footnoteReference w:id="57"/>
      </w:r>
      <w:r w:rsidR="00EF7ABE">
        <w:rPr>
          <w:rFonts w:ascii="Times New Roman" w:hAnsi="Times New Roman" w:cs="Times New Roman"/>
          <w:sz w:val="24"/>
          <w:szCs w:val="24"/>
        </w:rPr>
        <w:t xml:space="preserve"> although it has been recogni</w:t>
      </w:r>
      <w:r w:rsidR="008B07EF">
        <w:rPr>
          <w:rFonts w:ascii="Times New Roman" w:hAnsi="Times New Roman" w:cs="Times New Roman"/>
          <w:sz w:val="24"/>
          <w:szCs w:val="24"/>
        </w:rPr>
        <w:t>s</w:t>
      </w:r>
      <w:r w:rsidR="00EF7ABE">
        <w:rPr>
          <w:rFonts w:ascii="Times New Roman" w:hAnsi="Times New Roman" w:cs="Times New Roman"/>
          <w:sz w:val="24"/>
          <w:szCs w:val="24"/>
        </w:rPr>
        <w:t xml:space="preserve">ed that an indirect enrichment will </w:t>
      </w:r>
      <w:r w:rsidR="008B07EF">
        <w:rPr>
          <w:rFonts w:ascii="Times New Roman" w:hAnsi="Times New Roman" w:cs="Times New Roman"/>
          <w:sz w:val="24"/>
          <w:szCs w:val="24"/>
        </w:rPr>
        <w:t xml:space="preserve">suffice, at </w:t>
      </w:r>
      <w:r w:rsidR="00EF7ABE">
        <w:rPr>
          <w:rFonts w:ascii="Times New Roman" w:hAnsi="Times New Roman" w:cs="Times New Roman"/>
          <w:sz w:val="24"/>
          <w:szCs w:val="24"/>
        </w:rPr>
        <w:t>l</w:t>
      </w:r>
      <w:r w:rsidR="008B07EF">
        <w:rPr>
          <w:rFonts w:ascii="Times New Roman" w:hAnsi="Times New Roman" w:cs="Times New Roman"/>
          <w:sz w:val="24"/>
          <w:szCs w:val="24"/>
        </w:rPr>
        <w:t>e</w:t>
      </w:r>
      <w:r w:rsidR="00EF7ABE">
        <w:rPr>
          <w:rFonts w:ascii="Times New Roman" w:hAnsi="Times New Roman" w:cs="Times New Roman"/>
          <w:sz w:val="24"/>
          <w:szCs w:val="24"/>
        </w:rPr>
        <w:t>ast where as a matter of economic reality the defendant can be considered to</w:t>
      </w:r>
      <w:r w:rsidR="008B07EF">
        <w:rPr>
          <w:rFonts w:ascii="Times New Roman" w:hAnsi="Times New Roman" w:cs="Times New Roman"/>
          <w:sz w:val="24"/>
          <w:szCs w:val="24"/>
        </w:rPr>
        <w:t xml:space="preserve"> have been </w:t>
      </w:r>
      <w:r w:rsidR="004721A5">
        <w:rPr>
          <w:rFonts w:ascii="Times New Roman" w:hAnsi="Times New Roman" w:cs="Times New Roman"/>
          <w:sz w:val="24"/>
          <w:szCs w:val="24"/>
        </w:rPr>
        <w:t>enriched</w:t>
      </w:r>
      <w:r w:rsidR="008B07EF">
        <w:rPr>
          <w:rFonts w:ascii="Times New Roman" w:hAnsi="Times New Roman" w:cs="Times New Roman"/>
          <w:sz w:val="24"/>
          <w:szCs w:val="24"/>
        </w:rPr>
        <w:t xml:space="preserve"> at the clai</w:t>
      </w:r>
      <w:r w:rsidR="00EF7ABE">
        <w:rPr>
          <w:rFonts w:ascii="Times New Roman" w:hAnsi="Times New Roman" w:cs="Times New Roman"/>
          <w:sz w:val="24"/>
          <w:szCs w:val="24"/>
        </w:rPr>
        <w:t>m</w:t>
      </w:r>
      <w:r w:rsidR="008B07EF">
        <w:rPr>
          <w:rFonts w:ascii="Times New Roman" w:hAnsi="Times New Roman" w:cs="Times New Roman"/>
          <w:sz w:val="24"/>
          <w:szCs w:val="24"/>
        </w:rPr>
        <w:t>a</w:t>
      </w:r>
      <w:r w:rsidR="00EF7ABE">
        <w:rPr>
          <w:rFonts w:ascii="Times New Roman" w:hAnsi="Times New Roman" w:cs="Times New Roman"/>
          <w:sz w:val="24"/>
          <w:szCs w:val="24"/>
        </w:rPr>
        <w:t>nt’s expense.</w:t>
      </w:r>
      <w:r w:rsidR="00EF7ABE">
        <w:rPr>
          <w:rStyle w:val="FootnoteReference"/>
          <w:rFonts w:ascii="Times New Roman" w:hAnsi="Times New Roman" w:cs="Times New Roman"/>
          <w:sz w:val="24"/>
          <w:szCs w:val="24"/>
        </w:rPr>
        <w:footnoteReference w:id="58"/>
      </w:r>
      <w:r w:rsidR="008B07EF">
        <w:rPr>
          <w:rFonts w:ascii="Times New Roman" w:hAnsi="Times New Roman" w:cs="Times New Roman"/>
          <w:sz w:val="24"/>
          <w:szCs w:val="24"/>
        </w:rPr>
        <w:t xml:space="preserve"> A particularly significant issue relating to enrichment by a service is whether the value of the defendant’s gain should be capped by the claimant’s loss, such that restitution is allowed only to the extent that loss and gain correspond. The authorities on this point are unclear. Some suggest that the focus of a </w:t>
      </w:r>
      <w:proofErr w:type="spellStart"/>
      <w:r w:rsidR="004721A5">
        <w:rPr>
          <w:rFonts w:ascii="Times New Roman" w:hAnsi="Times New Roman" w:cs="Times New Roman"/>
          <w:sz w:val="24"/>
          <w:szCs w:val="24"/>
        </w:rPr>
        <w:t>restitutionary</w:t>
      </w:r>
      <w:proofErr w:type="spellEnd"/>
      <w:r w:rsidR="008B07EF">
        <w:rPr>
          <w:rFonts w:ascii="Times New Roman" w:hAnsi="Times New Roman" w:cs="Times New Roman"/>
          <w:sz w:val="24"/>
          <w:szCs w:val="24"/>
        </w:rPr>
        <w:t xml:space="preserve"> claim is on the defendant’s gain regardless of the </w:t>
      </w:r>
      <w:r w:rsidR="004721A5">
        <w:rPr>
          <w:rFonts w:ascii="Times New Roman" w:hAnsi="Times New Roman" w:cs="Times New Roman"/>
          <w:sz w:val="24"/>
          <w:szCs w:val="24"/>
        </w:rPr>
        <w:t>claimant’s</w:t>
      </w:r>
      <w:r w:rsidR="008B07EF">
        <w:rPr>
          <w:rFonts w:ascii="Times New Roman" w:hAnsi="Times New Roman" w:cs="Times New Roman"/>
          <w:sz w:val="24"/>
          <w:szCs w:val="24"/>
        </w:rPr>
        <w:t xml:space="preserve"> loss,</w:t>
      </w:r>
      <w:r w:rsidR="008B07EF">
        <w:rPr>
          <w:rStyle w:val="FootnoteReference"/>
          <w:rFonts w:ascii="Times New Roman" w:hAnsi="Times New Roman" w:cs="Times New Roman"/>
          <w:sz w:val="24"/>
          <w:szCs w:val="24"/>
        </w:rPr>
        <w:footnoteReference w:id="59"/>
      </w:r>
      <w:r w:rsidR="008B07EF">
        <w:rPr>
          <w:rFonts w:ascii="Times New Roman" w:hAnsi="Times New Roman" w:cs="Times New Roman"/>
          <w:sz w:val="24"/>
          <w:szCs w:val="24"/>
        </w:rPr>
        <w:t xml:space="preserve"> whilst others indicate that there must be an exact correspondence of gain and loss.</w:t>
      </w:r>
      <w:r w:rsidR="008B07EF">
        <w:rPr>
          <w:rStyle w:val="FootnoteReference"/>
          <w:rFonts w:ascii="Times New Roman" w:hAnsi="Times New Roman" w:cs="Times New Roman"/>
          <w:sz w:val="24"/>
          <w:szCs w:val="24"/>
        </w:rPr>
        <w:footnoteReference w:id="60"/>
      </w:r>
      <w:r w:rsidR="00D36E7D">
        <w:rPr>
          <w:rFonts w:ascii="Times New Roman" w:hAnsi="Times New Roman" w:cs="Times New Roman"/>
          <w:sz w:val="24"/>
          <w:szCs w:val="24"/>
        </w:rPr>
        <w:t xml:space="preserve"> The latter is the preferable view because it is consistent with the underlying rationale of the unjust enrichment, namely to correct the injustice of the defendant gaining at the expense of the claimant. In most cases involving the provision of services the correspondence principle will cause no problems, since the value of the defendant’s gain will correspond precisely with the claimant’s loss, especially after</w:t>
      </w:r>
      <w:r w:rsidR="00D36E7D">
        <w:rPr>
          <w:rFonts w:ascii="Times New Roman" w:hAnsi="Times New Roman" w:cs="Times New Roman"/>
          <w:i/>
          <w:sz w:val="24"/>
          <w:szCs w:val="24"/>
        </w:rPr>
        <w:t xml:space="preserve"> </w:t>
      </w:r>
      <w:r w:rsidR="00D36E7D">
        <w:rPr>
          <w:rFonts w:ascii="Times New Roman" w:hAnsi="Times New Roman" w:cs="Times New Roman"/>
          <w:sz w:val="24"/>
          <w:szCs w:val="24"/>
        </w:rPr>
        <w:t xml:space="preserve">the renewed emphasis on the objective test of valuation following </w:t>
      </w:r>
      <w:r w:rsidR="00D36E7D">
        <w:rPr>
          <w:rFonts w:ascii="Times New Roman" w:hAnsi="Times New Roman" w:cs="Times New Roman"/>
          <w:i/>
          <w:sz w:val="24"/>
          <w:szCs w:val="24"/>
        </w:rPr>
        <w:t xml:space="preserve">Benedetti v </w:t>
      </w:r>
      <w:proofErr w:type="spellStart"/>
      <w:r w:rsidR="00D36E7D">
        <w:rPr>
          <w:rFonts w:ascii="Times New Roman" w:hAnsi="Times New Roman" w:cs="Times New Roman"/>
          <w:i/>
          <w:sz w:val="24"/>
          <w:szCs w:val="24"/>
        </w:rPr>
        <w:t>Sawiris</w:t>
      </w:r>
      <w:proofErr w:type="spellEnd"/>
      <w:r w:rsidR="00D36E7D">
        <w:rPr>
          <w:rFonts w:ascii="Times New Roman" w:hAnsi="Times New Roman" w:cs="Times New Roman"/>
          <w:sz w:val="24"/>
          <w:szCs w:val="24"/>
        </w:rPr>
        <w:t>.</w:t>
      </w:r>
      <w:r w:rsidR="00D36E7D">
        <w:rPr>
          <w:rStyle w:val="FootnoteReference"/>
          <w:rFonts w:ascii="Times New Roman" w:hAnsi="Times New Roman" w:cs="Times New Roman"/>
          <w:sz w:val="24"/>
          <w:szCs w:val="24"/>
        </w:rPr>
        <w:footnoteReference w:id="61"/>
      </w:r>
    </w:p>
    <w:p w:rsidR="00524DE0" w:rsidRDefault="00524DE0" w:rsidP="00524DE0">
      <w:pPr>
        <w:rPr>
          <w:rFonts w:ascii="Times New Roman" w:hAnsi="Times New Roman" w:cs="Times New Roman"/>
          <w:i/>
          <w:sz w:val="24"/>
          <w:szCs w:val="24"/>
        </w:rPr>
      </w:pPr>
      <w:r>
        <w:rPr>
          <w:rFonts w:ascii="Times New Roman" w:hAnsi="Times New Roman" w:cs="Times New Roman"/>
          <w:i/>
          <w:sz w:val="24"/>
          <w:szCs w:val="24"/>
        </w:rPr>
        <w:t>(iii) Ground of restitution</w:t>
      </w:r>
    </w:p>
    <w:p w:rsidR="0082184F" w:rsidRPr="00524DE0" w:rsidRDefault="007A4E08" w:rsidP="00524DE0">
      <w:pPr>
        <w:rPr>
          <w:rFonts w:ascii="Times New Roman" w:hAnsi="Times New Roman" w:cs="Times New Roman"/>
          <w:i/>
          <w:sz w:val="24"/>
          <w:szCs w:val="24"/>
        </w:rPr>
      </w:pPr>
      <w:r>
        <w:rPr>
          <w:rFonts w:ascii="Times New Roman" w:hAnsi="Times New Roman" w:cs="Times New Roman"/>
          <w:sz w:val="24"/>
          <w:szCs w:val="24"/>
        </w:rPr>
        <w:t xml:space="preserve">The third part of the unjust enrichment formula is that the defendant’s receipt of the enrichment can be considered to have occurred in circumstances of injustice. This requires the identification of a recognised ground of restitution. </w:t>
      </w:r>
      <w:r w:rsidR="0082184F" w:rsidRPr="002D78EB">
        <w:rPr>
          <w:rFonts w:ascii="Times New Roman" w:hAnsi="Times New Roman" w:cs="Times New Roman"/>
          <w:sz w:val="24"/>
          <w:szCs w:val="24"/>
        </w:rPr>
        <w:t>The most obvious ground is that o</w:t>
      </w:r>
      <w:r w:rsidR="00D36E7D">
        <w:rPr>
          <w:rFonts w:ascii="Times New Roman" w:hAnsi="Times New Roman" w:cs="Times New Roman"/>
          <w:sz w:val="24"/>
          <w:szCs w:val="24"/>
        </w:rPr>
        <w:t>f total failure of basis</w:t>
      </w:r>
      <w:r w:rsidR="0082184F" w:rsidRPr="002D78EB">
        <w:rPr>
          <w:rFonts w:ascii="Times New Roman" w:hAnsi="Times New Roman" w:cs="Times New Roman"/>
          <w:sz w:val="24"/>
          <w:szCs w:val="24"/>
        </w:rPr>
        <w:t xml:space="preserve">, which was recognised in </w:t>
      </w:r>
      <w:r w:rsidR="0082184F" w:rsidRPr="002D78EB">
        <w:rPr>
          <w:rFonts w:ascii="Times New Roman" w:hAnsi="Times New Roman" w:cs="Times New Roman"/>
          <w:i/>
          <w:sz w:val="24"/>
          <w:szCs w:val="24"/>
        </w:rPr>
        <w:t xml:space="preserve">Yeoman’s Row v </w:t>
      </w:r>
      <w:proofErr w:type="spellStart"/>
      <w:r w:rsidR="0082184F" w:rsidRPr="002D78EB">
        <w:rPr>
          <w:rFonts w:ascii="Times New Roman" w:hAnsi="Times New Roman" w:cs="Times New Roman"/>
          <w:i/>
          <w:sz w:val="24"/>
          <w:szCs w:val="24"/>
        </w:rPr>
        <w:t>Cobbe</w:t>
      </w:r>
      <w:proofErr w:type="spellEnd"/>
      <w:r w:rsidR="0082184F" w:rsidRPr="002D78EB">
        <w:rPr>
          <w:rFonts w:ascii="Times New Roman" w:hAnsi="Times New Roman" w:cs="Times New Roman"/>
          <w:sz w:val="24"/>
          <w:szCs w:val="24"/>
        </w:rPr>
        <w:t>,</w:t>
      </w:r>
      <w:r w:rsidR="0082184F" w:rsidRPr="002D78EB">
        <w:rPr>
          <w:rStyle w:val="FootnoteReference"/>
          <w:rFonts w:ascii="Times New Roman" w:hAnsi="Times New Roman" w:cs="Times New Roman"/>
          <w:sz w:val="24"/>
          <w:szCs w:val="24"/>
        </w:rPr>
        <w:footnoteReference w:id="62"/>
      </w:r>
      <w:r w:rsidR="0082184F" w:rsidRPr="002D78EB">
        <w:rPr>
          <w:rFonts w:ascii="Times New Roman" w:hAnsi="Times New Roman" w:cs="Times New Roman"/>
          <w:sz w:val="24"/>
          <w:szCs w:val="24"/>
        </w:rPr>
        <w:t xml:space="preserve"> although not specifically in relation to unjust enrichment. </w:t>
      </w:r>
      <w:r>
        <w:rPr>
          <w:rFonts w:ascii="Times New Roman" w:hAnsi="Times New Roman" w:cs="Times New Roman"/>
          <w:sz w:val="24"/>
          <w:szCs w:val="24"/>
        </w:rPr>
        <w:t>This ground was, however, specifically recognised by Lord Reed in</w:t>
      </w:r>
      <w:r>
        <w:rPr>
          <w:rFonts w:ascii="Times New Roman" w:hAnsi="Times New Roman" w:cs="Times New Roman"/>
          <w:i/>
          <w:sz w:val="24"/>
          <w:szCs w:val="24"/>
        </w:rPr>
        <w:t xml:space="preserve"> Benedetti v </w:t>
      </w:r>
      <w:proofErr w:type="spellStart"/>
      <w:r>
        <w:rPr>
          <w:rFonts w:ascii="Times New Roman" w:hAnsi="Times New Roman" w:cs="Times New Roman"/>
          <w:i/>
          <w:sz w:val="24"/>
          <w:szCs w:val="24"/>
        </w:rPr>
        <w:t>Sawiris</w:t>
      </w:r>
      <w:proofErr w:type="spellEnd"/>
      <w:r w:rsidRPr="007A4E08">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w:t>
      </w:r>
      <w:r w:rsidRPr="00821EE5">
        <w:rPr>
          <w:rFonts w:ascii="Times New Roman" w:hAnsi="Times New Roman" w:cs="Times New Roman"/>
          <w:sz w:val="24"/>
          <w:szCs w:val="24"/>
        </w:rPr>
        <w:t>in order to correct ‘the injustice arising from the defendant’s receipt of the claimant’s services on a basis which was not fulfilled.’</w:t>
      </w:r>
      <w:r>
        <w:rPr>
          <w:rFonts w:ascii="Times New Roman" w:hAnsi="Times New Roman" w:cs="Times New Roman"/>
          <w:sz w:val="24"/>
          <w:szCs w:val="24"/>
        </w:rPr>
        <w:t xml:space="preserve"> </w:t>
      </w:r>
      <w:r w:rsidR="0082184F" w:rsidRPr="002D78EB">
        <w:rPr>
          <w:rFonts w:ascii="Times New Roman" w:hAnsi="Times New Roman" w:cs="Times New Roman"/>
          <w:sz w:val="24"/>
          <w:szCs w:val="24"/>
        </w:rPr>
        <w:t>But this ground of restitution will only apply where the claimant has received nothing from the defendant in respect of the provision of the service,</w:t>
      </w:r>
      <w:r>
        <w:rPr>
          <w:rFonts w:ascii="Times New Roman" w:hAnsi="Times New Roman" w:cs="Times New Roman"/>
          <w:sz w:val="24"/>
          <w:szCs w:val="24"/>
        </w:rPr>
        <w:t xml:space="preserve"> for otherwise the basis</w:t>
      </w:r>
      <w:r w:rsidR="0082184F" w:rsidRPr="002D78EB">
        <w:rPr>
          <w:rFonts w:ascii="Times New Roman" w:hAnsi="Times New Roman" w:cs="Times New Roman"/>
          <w:sz w:val="24"/>
          <w:szCs w:val="24"/>
        </w:rPr>
        <w:t xml:space="preserve"> will not have failed totally. The significance of this restriction is illustrated by </w:t>
      </w:r>
      <w:r w:rsidR="0082184F" w:rsidRPr="002D78EB">
        <w:rPr>
          <w:rFonts w:ascii="Times New Roman" w:hAnsi="Times New Roman" w:cs="Times New Roman"/>
          <w:bCs/>
          <w:i/>
          <w:sz w:val="24"/>
          <w:szCs w:val="24"/>
        </w:rPr>
        <w:t>Whittle Movers Ltd v Hollywood Express</w:t>
      </w:r>
      <w:r>
        <w:rPr>
          <w:rFonts w:ascii="Times New Roman" w:hAnsi="Times New Roman" w:cs="Times New Roman"/>
          <w:bCs/>
          <w:sz w:val="24"/>
          <w:szCs w:val="24"/>
        </w:rPr>
        <w:t>,</w:t>
      </w:r>
      <w:r w:rsidR="0082184F" w:rsidRPr="002D78EB">
        <w:rPr>
          <w:rStyle w:val="FootnoteReference"/>
          <w:rFonts w:ascii="Times New Roman" w:hAnsi="Times New Roman" w:cs="Times New Roman"/>
          <w:bCs/>
          <w:sz w:val="24"/>
          <w:szCs w:val="24"/>
        </w:rPr>
        <w:footnoteReference w:id="64"/>
      </w:r>
      <w:r w:rsidR="0082184F" w:rsidRPr="002D78EB">
        <w:rPr>
          <w:rFonts w:ascii="Times New Roman" w:hAnsi="Times New Roman" w:cs="Times New Roman"/>
          <w:bCs/>
          <w:sz w:val="24"/>
          <w:szCs w:val="24"/>
        </w:rPr>
        <w:t xml:space="preserve"> where a claim relating to services provided in anticipation of a contract being made was considered to have been founded on unjust enrichment. But this was a case where the claimant had received some payment from the defendant for the services rendered, so it would not have been possible argue for </w:t>
      </w:r>
      <w:r>
        <w:rPr>
          <w:rFonts w:ascii="Times New Roman" w:hAnsi="Times New Roman" w:cs="Times New Roman"/>
          <w:bCs/>
          <w:sz w:val="24"/>
          <w:szCs w:val="24"/>
        </w:rPr>
        <w:t>a total failure of basis, save if the payment</w:t>
      </w:r>
      <w:r w:rsidR="0082184F" w:rsidRPr="002D78EB">
        <w:rPr>
          <w:rFonts w:ascii="Times New Roman" w:hAnsi="Times New Roman" w:cs="Times New Roman"/>
          <w:bCs/>
          <w:sz w:val="24"/>
          <w:szCs w:val="24"/>
        </w:rPr>
        <w:t xml:space="preserve"> could be apportioned</w:t>
      </w:r>
      <w:r>
        <w:rPr>
          <w:rFonts w:ascii="Times New Roman" w:hAnsi="Times New Roman" w:cs="Times New Roman"/>
          <w:bCs/>
          <w:sz w:val="24"/>
          <w:szCs w:val="24"/>
        </w:rPr>
        <w:t xml:space="preserve"> in some way</w:t>
      </w:r>
      <w:r w:rsidR="0082184F" w:rsidRPr="002D78EB">
        <w:rPr>
          <w:rFonts w:ascii="Times New Roman" w:hAnsi="Times New Roman" w:cs="Times New Roman"/>
          <w:bCs/>
          <w:sz w:val="24"/>
          <w:szCs w:val="24"/>
        </w:rPr>
        <w:t xml:space="preserve">, which seems unlikely on the facts. </w:t>
      </w:r>
    </w:p>
    <w:p w:rsidR="0082184F" w:rsidRPr="00DF283F" w:rsidRDefault="0082184F" w:rsidP="0082184F">
      <w:pPr>
        <w:rPr>
          <w:rFonts w:ascii="Times New Roman" w:hAnsi="Times New Roman" w:cs="Times New Roman"/>
          <w:bCs/>
          <w:sz w:val="24"/>
          <w:szCs w:val="24"/>
        </w:rPr>
      </w:pPr>
      <w:r w:rsidRPr="002D78EB">
        <w:rPr>
          <w:rFonts w:ascii="Times New Roman" w:hAnsi="Times New Roman" w:cs="Times New Roman"/>
          <w:bCs/>
          <w:sz w:val="24"/>
          <w:szCs w:val="24"/>
        </w:rPr>
        <w:tab/>
        <w:t xml:space="preserve">So might there be alternative grounds of restitution available in such circumstances? One ground might be mistake, in that the claimant in providing the service might argue that he </w:t>
      </w:r>
      <w:r w:rsidR="007A4E08">
        <w:rPr>
          <w:rFonts w:ascii="Times New Roman" w:hAnsi="Times New Roman" w:cs="Times New Roman"/>
          <w:bCs/>
          <w:sz w:val="24"/>
          <w:szCs w:val="24"/>
        </w:rPr>
        <w:t xml:space="preserve">or she </w:t>
      </w:r>
      <w:r w:rsidRPr="002D78EB">
        <w:rPr>
          <w:rFonts w:ascii="Times New Roman" w:hAnsi="Times New Roman" w:cs="Times New Roman"/>
          <w:bCs/>
          <w:sz w:val="24"/>
          <w:szCs w:val="24"/>
        </w:rPr>
        <w:t xml:space="preserve">was mistaken as to the contract being made. But this would be a </w:t>
      </w:r>
      <w:proofErr w:type="spellStart"/>
      <w:r w:rsidRPr="002D78EB">
        <w:rPr>
          <w:rFonts w:ascii="Times New Roman" w:hAnsi="Times New Roman" w:cs="Times New Roman"/>
          <w:bCs/>
          <w:sz w:val="24"/>
          <w:szCs w:val="24"/>
        </w:rPr>
        <w:t>misprediction</w:t>
      </w:r>
      <w:proofErr w:type="spellEnd"/>
      <w:r w:rsidRPr="002D78EB">
        <w:rPr>
          <w:rFonts w:ascii="Times New Roman" w:hAnsi="Times New Roman" w:cs="Times New Roman"/>
          <w:bCs/>
          <w:sz w:val="24"/>
          <w:szCs w:val="24"/>
        </w:rPr>
        <w:t xml:space="preserve"> rather than a mistake, since it relates to what might happen in the future rather th</w:t>
      </w:r>
      <w:r w:rsidR="007A4E08">
        <w:rPr>
          <w:rFonts w:ascii="Times New Roman" w:hAnsi="Times New Roman" w:cs="Times New Roman"/>
          <w:bCs/>
          <w:sz w:val="24"/>
          <w:szCs w:val="24"/>
        </w:rPr>
        <w:t>an to existing state of affairs, which does not fall within the ground of mistake.</w:t>
      </w:r>
      <w:r w:rsidR="007A4E08">
        <w:rPr>
          <w:rStyle w:val="FootnoteReference"/>
          <w:rFonts w:ascii="Times New Roman" w:hAnsi="Times New Roman" w:cs="Times New Roman"/>
          <w:bCs/>
          <w:sz w:val="24"/>
          <w:szCs w:val="24"/>
        </w:rPr>
        <w:footnoteReference w:id="65"/>
      </w:r>
      <w:r w:rsidRPr="002D78EB">
        <w:rPr>
          <w:rFonts w:ascii="Times New Roman" w:hAnsi="Times New Roman" w:cs="Times New Roman"/>
          <w:bCs/>
          <w:sz w:val="24"/>
          <w:szCs w:val="24"/>
        </w:rPr>
        <w:t xml:space="preserve"> In other circumstances mistake may be sufficient to establish a claim in unjust enrichment. </w:t>
      </w:r>
      <w:r w:rsidRPr="002D78EB">
        <w:rPr>
          <w:rFonts w:ascii="Times New Roman" w:hAnsi="Times New Roman" w:cs="Times New Roman"/>
          <w:sz w:val="24"/>
          <w:szCs w:val="24"/>
        </w:rPr>
        <w:t xml:space="preserve">So where the claimant has repaired or improved the defendant’s goods believing that they were his,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might lie. </w:t>
      </w:r>
      <w:r w:rsidR="001519DC" w:rsidRPr="002D78EB">
        <w:rPr>
          <w:rFonts w:ascii="Times New Roman" w:hAnsi="Times New Roman" w:cs="Times New Roman"/>
          <w:sz w:val="24"/>
          <w:szCs w:val="24"/>
        </w:rPr>
        <w:t xml:space="preserve">In </w:t>
      </w:r>
      <w:r w:rsidR="001519DC" w:rsidRPr="002D78EB">
        <w:rPr>
          <w:rFonts w:ascii="Times New Roman" w:hAnsi="Times New Roman" w:cs="Times New Roman"/>
          <w:i/>
          <w:iCs/>
          <w:sz w:val="24"/>
          <w:szCs w:val="24"/>
        </w:rPr>
        <w:t>Greenwood v Bennett</w:t>
      </w:r>
      <w:r w:rsidR="001519DC" w:rsidRPr="002D78EB">
        <w:rPr>
          <w:rStyle w:val="FootnoteReference"/>
          <w:rFonts w:ascii="Times New Roman" w:hAnsi="Times New Roman" w:cs="Times New Roman"/>
          <w:sz w:val="24"/>
          <w:szCs w:val="24"/>
        </w:rPr>
        <w:footnoteReference w:id="66"/>
      </w:r>
      <w:r w:rsidR="001519DC" w:rsidRPr="002D78EB">
        <w:rPr>
          <w:rFonts w:ascii="Times New Roman" w:hAnsi="Times New Roman" w:cs="Times New Roman"/>
          <w:sz w:val="24"/>
          <w:szCs w:val="24"/>
        </w:rPr>
        <w:t xml:space="preserve"> Lord Denning MR was prepared to allow a person, who had improved a car honestly believing himself to be its owner, a direct claim against the owner, to be recompensed for the work done.</w:t>
      </w:r>
      <w:r w:rsidR="001519DC" w:rsidRPr="002D78EB">
        <w:rPr>
          <w:rStyle w:val="FootnoteReference"/>
          <w:rFonts w:ascii="Times New Roman" w:hAnsi="Times New Roman" w:cs="Times New Roman"/>
          <w:sz w:val="24"/>
          <w:szCs w:val="24"/>
        </w:rPr>
        <w:footnoteReference w:id="67"/>
      </w:r>
      <w:r w:rsidR="001519DC">
        <w:rPr>
          <w:rFonts w:ascii="Times New Roman" w:hAnsi="Times New Roman" w:cs="Times New Roman"/>
          <w:sz w:val="24"/>
          <w:szCs w:val="24"/>
        </w:rPr>
        <w:t xml:space="preserve"> </w:t>
      </w:r>
      <w:r w:rsidRPr="002D78EB">
        <w:rPr>
          <w:rFonts w:ascii="Times New Roman" w:hAnsi="Times New Roman" w:cs="Times New Roman"/>
          <w:sz w:val="24"/>
          <w:szCs w:val="24"/>
        </w:rPr>
        <w:t>Normally in this type of case, however, the claimant may be considered to be a volunteer and the claim will fail.</w:t>
      </w:r>
      <w:r w:rsidRPr="002D78EB">
        <w:rPr>
          <w:rStyle w:val="FootnoteReference"/>
          <w:rFonts w:ascii="Times New Roman" w:hAnsi="Times New Roman" w:cs="Times New Roman"/>
          <w:sz w:val="24"/>
          <w:szCs w:val="24"/>
        </w:rPr>
        <w:footnoteReference w:id="68"/>
      </w:r>
      <w:r w:rsidRPr="002D78EB">
        <w:rPr>
          <w:rFonts w:ascii="Times New Roman" w:hAnsi="Times New Roman" w:cs="Times New Roman"/>
          <w:sz w:val="24"/>
          <w:szCs w:val="24"/>
        </w:rPr>
        <w:t xml:space="preserve"> </w:t>
      </w:r>
    </w:p>
    <w:p w:rsidR="0082184F" w:rsidRPr="002D78EB" w:rsidRDefault="0082184F" w:rsidP="00587063">
      <w:pPr>
        <w:ind w:left="60"/>
        <w:rPr>
          <w:rFonts w:ascii="Times New Roman" w:hAnsi="Times New Roman" w:cs="Times New Roman"/>
          <w:sz w:val="24"/>
          <w:szCs w:val="24"/>
        </w:rPr>
      </w:pPr>
      <w:r w:rsidRPr="002D78EB">
        <w:rPr>
          <w:rFonts w:ascii="Times New Roman" w:hAnsi="Times New Roman" w:cs="Times New Roman"/>
          <w:sz w:val="24"/>
          <w:szCs w:val="24"/>
        </w:rPr>
        <w:tab/>
        <w:t xml:space="preserve">An alternative, and controversial, ground of restitution relevant to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claims is that of free acceptance. Where the defendant has freely accepted the service proffered </w:t>
      </w:r>
      <w:r w:rsidRPr="00AA6596">
        <w:rPr>
          <w:rFonts w:ascii="Times New Roman" w:hAnsi="Times New Roman" w:cs="Times New Roman"/>
          <w:sz w:val="24"/>
          <w:szCs w:val="24"/>
        </w:rPr>
        <w:t>by the claimant this may in itself make the receipt of the service without payment unjust.</w:t>
      </w:r>
      <w:r w:rsidRPr="00AA6596">
        <w:rPr>
          <w:rStyle w:val="FootnoteReference"/>
          <w:rFonts w:ascii="Times New Roman" w:hAnsi="Times New Roman" w:cs="Times New Roman"/>
          <w:sz w:val="24"/>
          <w:szCs w:val="24"/>
        </w:rPr>
        <w:footnoteReference w:id="69"/>
      </w:r>
      <w:r w:rsidRPr="00AA6596">
        <w:rPr>
          <w:rFonts w:ascii="Times New Roman" w:hAnsi="Times New Roman" w:cs="Times New Roman"/>
          <w:sz w:val="24"/>
          <w:szCs w:val="24"/>
        </w:rPr>
        <w:t xml:space="preserve"> </w:t>
      </w:r>
      <w:r w:rsidR="00B93398">
        <w:rPr>
          <w:rFonts w:ascii="Times New Roman" w:hAnsi="Times New Roman" w:cs="Times New Roman"/>
          <w:sz w:val="24"/>
          <w:szCs w:val="24"/>
        </w:rPr>
        <w:t xml:space="preserve">It is, however, difficult to justify </w:t>
      </w:r>
      <w:r w:rsidR="00587063">
        <w:rPr>
          <w:rFonts w:ascii="Times New Roman" w:hAnsi="Times New Roman" w:cs="Times New Roman"/>
          <w:sz w:val="24"/>
          <w:szCs w:val="24"/>
        </w:rPr>
        <w:t xml:space="preserve">free acceptance as a ground of restitution. Most grounds of restitution are concerned with the vitiation or qualification of the claimant’s intent to transfer a benefit to the defendant, such as by virtue of mistake or there being a failure of basis, whereas free acceptance is concerned with the defendant’s conduct in receiving a benefit knowing that it was not provided gratuitously. Recognition of such a ground of restitution equates rather more with liability being triggered by </w:t>
      </w:r>
      <w:proofErr w:type="spellStart"/>
      <w:r w:rsidR="00587063">
        <w:rPr>
          <w:rFonts w:ascii="Times New Roman" w:hAnsi="Times New Roman" w:cs="Times New Roman"/>
          <w:sz w:val="24"/>
          <w:szCs w:val="24"/>
        </w:rPr>
        <w:t>unconscionability</w:t>
      </w:r>
      <w:proofErr w:type="spellEnd"/>
      <w:r w:rsidR="00587063">
        <w:rPr>
          <w:rFonts w:ascii="Times New Roman" w:hAnsi="Times New Roman" w:cs="Times New Roman"/>
          <w:sz w:val="24"/>
          <w:szCs w:val="24"/>
        </w:rPr>
        <w:t xml:space="preserve"> rather than by reference to unjust enrichment.</w:t>
      </w:r>
    </w:p>
    <w:p w:rsidR="0082184F" w:rsidRDefault="0082184F" w:rsidP="0082184F">
      <w:pPr>
        <w:rPr>
          <w:rFonts w:ascii="Times New Roman" w:hAnsi="Times New Roman" w:cs="Times New Roman"/>
          <w:sz w:val="24"/>
          <w:szCs w:val="24"/>
        </w:rPr>
      </w:pPr>
      <w:r w:rsidRPr="002D78EB">
        <w:rPr>
          <w:rFonts w:ascii="Times New Roman" w:hAnsi="Times New Roman" w:cs="Times New Roman"/>
          <w:sz w:val="24"/>
          <w:szCs w:val="24"/>
        </w:rPr>
        <w:tab/>
        <w:t>One final gro</w:t>
      </w:r>
      <w:r w:rsidR="001519DC">
        <w:rPr>
          <w:rFonts w:ascii="Times New Roman" w:hAnsi="Times New Roman" w:cs="Times New Roman"/>
          <w:sz w:val="24"/>
          <w:szCs w:val="24"/>
        </w:rPr>
        <w:t>und which might have a role to play in</w:t>
      </w:r>
      <w:r w:rsidRPr="002D78EB">
        <w:rPr>
          <w:rFonts w:ascii="Times New Roman" w:hAnsi="Times New Roman" w:cs="Times New Roman"/>
          <w:sz w:val="24"/>
          <w:szCs w:val="24"/>
        </w:rPr>
        <w:t xml:space="preserve">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claims founded on unjust enrichment is that of necessitous intervention in an emergency.</w:t>
      </w:r>
      <w:r w:rsidRPr="002D78EB">
        <w:rPr>
          <w:rStyle w:val="FootnoteReference"/>
          <w:rFonts w:ascii="Times New Roman" w:hAnsi="Times New Roman" w:cs="Times New Roman"/>
          <w:sz w:val="24"/>
          <w:szCs w:val="24"/>
        </w:rPr>
        <w:footnoteReference w:id="70"/>
      </w:r>
      <w:r w:rsidRPr="002D78EB">
        <w:rPr>
          <w:rFonts w:ascii="Times New Roman" w:hAnsi="Times New Roman" w:cs="Times New Roman"/>
          <w:sz w:val="24"/>
          <w:szCs w:val="24"/>
        </w:rPr>
        <w:t xml:space="preserve"> The liability of the defendant to pay for the service provided has been recognised in the context of agency of necessity where the agent has acted reasonably in an emergency to protect the interests of the principal, the principal is then liable to reimburse the agent’s reasonable expenses even though he had exceeded his authority.</w:t>
      </w:r>
      <w:r w:rsidRPr="002D78EB">
        <w:rPr>
          <w:rStyle w:val="FootnoteReference"/>
          <w:rFonts w:ascii="Times New Roman" w:hAnsi="Times New Roman" w:cs="Times New Roman"/>
          <w:sz w:val="24"/>
          <w:szCs w:val="24"/>
        </w:rPr>
        <w:footnoteReference w:id="71"/>
      </w:r>
      <w:r w:rsidRPr="002D78EB">
        <w:rPr>
          <w:rFonts w:ascii="Times New Roman" w:hAnsi="Times New Roman" w:cs="Times New Roman"/>
          <w:sz w:val="24"/>
          <w:szCs w:val="24"/>
        </w:rPr>
        <w:t xml:space="preserve"> </w:t>
      </w:r>
    </w:p>
    <w:p w:rsidR="00524DE0" w:rsidRPr="00524DE0" w:rsidRDefault="00524DE0" w:rsidP="0082184F">
      <w:pPr>
        <w:rPr>
          <w:rFonts w:ascii="Times New Roman" w:hAnsi="Times New Roman" w:cs="Times New Roman"/>
          <w:i/>
          <w:sz w:val="24"/>
          <w:szCs w:val="24"/>
        </w:rPr>
      </w:pPr>
      <w:r>
        <w:rPr>
          <w:rFonts w:ascii="Times New Roman" w:hAnsi="Times New Roman" w:cs="Times New Roman"/>
          <w:i/>
          <w:sz w:val="24"/>
          <w:szCs w:val="24"/>
        </w:rPr>
        <w:t>(iv) Legal basis and risk</w:t>
      </w:r>
    </w:p>
    <w:p w:rsidR="006A6C43" w:rsidRDefault="0082184F" w:rsidP="0082184F">
      <w:pPr>
        <w:rPr>
          <w:rFonts w:ascii="Times New Roman" w:hAnsi="Times New Roman" w:cs="Times New Roman"/>
          <w:sz w:val="24"/>
          <w:szCs w:val="24"/>
        </w:rPr>
      </w:pPr>
      <w:r w:rsidRPr="002D78EB">
        <w:rPr>
          <w:rFonts w:ascii="Times New Roman" w:hAnsi="Times New Roman" w:cs="Times New Roman"/>
          <w:i/>
          <w:sz w:val="24"/>
          <w:szCs w:val="24"/>
        </w:rPr>
        <w:tab/>
      </w:r>
      <w:r w:rsidRPr="002D78EB">
        <w:rPr>
          <w:rFonts w:ascii="Times New Roman" w:hAnsi="Times New Roman" w:cs="Times New Roman"/>
          <w:sz w:val="24"/>
          <w:szCs w:val="24"/>
        </w:rPr>
        <w:t xml:space="preserve">Regardless of the ground of restitution which is relied on, it is clear that a claim founded on unjust enrichment will fail where </w:t>
      </w:r>
      <w:r w:rsidR="007F739D">
        <w:rPr>
          <w:rFonts w:ascii="Times New Roman" w:hAnsi="Times New Roman" w:cs="Times New Roman"/>
          <w:sz w:val="24"/>
          <w:szCs w:val="24"/>
        </w:rPr>
        <w:t>there was a legal basis for the defendant’s receipt of the service. So, where, for example, the service was provided gratuitously by the claimant, there would then be a valid basis for the defendant’s receipt of the service</w:t>
      </w:r>
      <w:r w:rsidRPr="002D78EB">
        <w:rPr>
          <w:rFonts w:ascii="Times New Roman" w:hAnsi="Times New Roman" w:cs="Times New Roman"/>
          <w:sz w:val="24"/>
          <w:szCs w:val="24"/>
        </w:rPr>
        <w:t>.</w:t>
      </w:r>
      <w:r w:rsidRPr="002D78EB">
        <w:rPr>
          <w:rStyle w:val="FootnoteReference"/>
          <w:rFonts w:ascii="Times New Roman" w:hAnsi="Times New Roman" w:cs="Times New Roman"/>
          <w:sz w:val="24"/>
          <w:szCs w:val="24"/>
        </w:rPr>
        <w:footnoteReference w:id="72"/>
      </w:r>
      <w:r w:rsidRPr="002D78EB">
        <w:rPr>
          <w:rFonts w:ascii="Times New Roman" w:hAnsi="Times New Roman" w:cs="Times New Roman"/>
          <w:sz w:val="24"/>
          <w:szCs w:val="24"/>
        </w:rPr>
        <w:t xml:space="preserve"> </w:t>
      </w:r>
      <w:r w:rsidR="007F739D">
        <w:rPr>
          <w:rFonts w:ascii="Times New Roman" w:hAnsi="Times New Roman" w:cs="Times New Roman"/>
          <w:sz w:val="24"/>
          <w:szCs w:val="24"/>
        </w:rPr>
        <w:t>Similarly, where the service has been provided pursuant to a contract which remains valid, there can be no claim in unjust enrichment, because of the presence of a legal basis for the transfer.</w:t>
      </w:r>
      <w:r w:rsidR="00AA7B72">
        <w:rPr>
          <w:rStyle w:val="FootnoteReference"/>
          <w:rFonts w:ascii="Times New Roman" w:hAnsi="Times New Roman" w:cs="Times New Roman"/>
          <w:sz w:val="24"/>
          <w:szCs w:val="24"/>
        </w:rPr>
        <w:footnoteReference w:id="73"/>
      </w:r>
      <w:r w:rsidR="007F739D">
        <w:rPr>
          <w:rFonts w:ascii="Times New Roman" w:hAnsi="Times New Roman" w:cs="Times New Roman"/>
          <w:sz w:val="24"/>
          <w:szCs w:val="24"/>
        </w:rPr>
        <w:t xml:space="preserve"> This is illustrated by </w:t>
      </w:r>
      <w:r w:rsidR="00AA7B72">
        <w:rPr>
          <w:rFonts w:ascii="Times New Roman" w:hAnsi="Times New Roman" w:cs="Times New Roman"/>
          <w:i/>
          <w:sz w:val="24"/>
          <w:szCs w:val="24"/>
        </w:rPr>
        <w:t xml:space="preserve">MacDonald </w:t>
      </w:r>
      <w:r w:rsidR="006A6C43">
        <w:rPr>
          <w:rFonts w:ascii="Times New Roman" w:hAnsi="Times New Roman" w:cs="Times New Roman"/>
          <w:i/>
          <w:sz w:val="24"/>
          <w:szCs w:val="24"/>
        </w:rPr>
        <w:t xml:space="preserve">Dickens and Macklin </w:t>
      </w:r>
      <w:r w:rsidR="00AA7B72">
        <w:rPr>
          <w:rFonts w:ascii="Times New Roman" w:hAnsi="Times New Roman" w:cs="Times New Roman"/>
          <w:i/>
          <w:sz w:val="24"/>
          <w:szCs w:val="24"/>
        </w:rPr>
        <w:t>v Costello</w:t>
      </w:r>
      <w:r w:rsidR="00AA7B72" w:rsidRPr="00AA7B72">
        <w:rPr>
          <w:rStyle w:val="FootnoteReference"/>
          <w:rFonts w:ascii="Times New Roman" w:hAnsi="Times New Roman" w:cs="Times New Roman"/>
          <w:sz w:val="24"/>
          <w:szCs w:val="24"/>
        </w:rPr>
        <w:footnoteReference w:id="74"/>
      </w:r>
      <w:r w:rsidR="00AA7B72">
        <w:rPr>
          <w:rFonts w:ascii="Times New Roman" w:hAnsi="Times New Roman" w:cs="Times New Roman"/>
          <w:sz w:val="24"/>
          <w:szCs w:val="24"/>
        </w:rPr>
        <w:t xml:space="preserve"> where the claimants had been contracted to carry out work for a company, which was owned and controlled by the defendants. The claimant sued the company and the defendants for </w:t>
      </w:r>
      <w:r w:rsidR="00AA7B72">
        <w:rPr>
          <w:rFonts w:ascii="Times New Roman" w:hAnsi="Times New Roman" w:cs="Times New Roman"/>
          <w:i/>
          <w:sz w:val="24"/>
          <w:szCs w:val="24"/>
        </w:rPr>
        <w:t xml:space="preserve">quantum </w:t>
      </w:r>
      <w:proofErr w:type="spellStart"/>
      <w:r w:rsidR="00AA7B72">
        <w:rPr>
          <w:rFonts w:ascii="Times New Roman" w:hAnsi="Times New Roman" w:cs="Times New Roman"/>
          <w:i/>
          <w:sz w:val="24"/>
          <w:szCs w:val="24"/>
        </w:rPr>
        <w:t>meruit</w:t>
      </w:r>
      <w:proofErr w:type="spellEnd"/>
      <w:r w:rsidR="00AA7B72">
        <w:rPr>
          <w:rFonts w:ascii="Times New Roman" w:hAnsi="Times New Roman" w:cs="Times New Roman"/>
          <w:sz w:val="24"/>
          <w:szCs w:val="24"/>
        </w:rPr>
        <w:t xml:space="preserve">. It was held that, because the claimant </w:t>
      </w:r>
      <w:r w:rsidR="006A6C43">
        <w:rPr>
          <w:rFonts w:ascii="Times New Roman" w:hAnsi="Times New Roman" w:cs="Times New Roman"/>
          <w:sz w:val="24"/>
          <w:szCs w:val="24"/>
        </w:rPr>
        <w:t>had a contract with the company</w:t>
      </w:r>
      <w:r w:rsidR="00AA7B72">
        <w:rPr>
          <w:rFonts w:ascii="Times New Roman" w:hAnsi="Times New Roman" w:cs="Times New Roman"/>
          <w:sz w:val="24"/>
          <w:szCs w:val="24"/>
        </w:rPr>
        <w:t xml:space="preserve"> which had not been set aside, the claim against the defendants failed. This is clearly correct. It is not for the law of unjust enrichment to undermine the contractual regime, including the contractual allocation of risk. </w:t>
      </w:r>
      <w:r w:rsidR="006A6C43">
        <w:rPr>
          <w:rFonts w:ascii="Times New Roman" w:hAnsi="Times New Roman" w:cs="Times New Roman"/>
          <w:sz w:val="24"/>
          <w:szCs w:val="24"/>
        </w:rPr>
        <w:t xml:space="preserve">As </w:t>
      </w:r>
      <w:proofErr w:type="spellStart"/>
      <w:r w:rsidR="006A6C43">
        <w:rPr>
          <w:rFonts w:ascii="Times New Roman" w:hAnsi="Times New Roman" w:cs="Times New Roman"/>
          <w:sz w:val="24"/>
          <w:szCs w:val="24"/>
        </w:rPr>
        <w:t>Etherton</w:t>
      </w:r>
      <w:proofErr w:type="spellEnd"/>
      <w:r w:rsidR="006A6C43">
        <w:rPr>
          <w:rFonts w:ascii="Times New Roman" w:hAnsi="Times New Roman" w:cs="Times New Roman"/>
          <w:sz w:val="24"/>
          <w:szCs w:val="24"/>
        </w:rPr>
        <w:t xml:space="preserve"> LJ recognised:</w:t>
      </w:r>
      <w:r w:rsidR="00815254">
        <w:rPr>
          <w:rStyle w:val="FootnoteReference"/>
          <w:rFonts w:ascii="Times New Roman" w:hAnsi="Times New Roman" w:cs="Times New Roman"/>
          <w:sz w:val="24"/>
          <w:szCs w:val="24"/>
        </w:rPr>
        <w:footnoteReference w:id="75"/>
      </w:r>
    </w:p>
    <w:p w:rsidR="006A6C43" w:rsidRDefault="00815254" w:rsidP="00815254">
      <w:pPr>
        <w:pStyle w:val="EXT"/>
      </w:pPr>
      <w:r w:rsidRPr="00815254">
        <w:t>The general rule should be to uphold contractual arrangements by which parties have defined and allocated and, to that extent, restricted their mutual obligations, and, in so doing, have similarly allocated and circumscribed the consequences of non-performance. That general rule reflects a sound legal policy which acknowledges the parties’ autonomy to configure the legal relations between them and provides certainty, and so limits disputes and litigation.</w:t>
      </w:r>
    </w:p>
    <w:p w:rsidR="007F739D" w:rsidRPr="00AA7B72" w:rsidRDefault="00AA7B72" w:rsidP="0082184F">
      <w:pPr>
        <w:rPr>
          <w:rFonts w:ascii="Times New Roman" w:hAnsi="Times New Roman" w:cs="Times New Roman"/>
          <w:sz w:val="24"/>
          <w:szCs w:val="24"/>
        </w:rPr>
      </w:pPr>
      <w:r>
        <w:rPr>
          <w:rFonts w:ascii="Times New Roman" w:hAnsi="Times New Roman" w:cs="Times New Roman"/>
          <w:sz w:val="24"/>
          <w:szCs w:val="24"/>
        </w:rPr>
        <w:t>Consequently, if the company had become insolvent, the claimant would have borne the risk of this and could not have avoided it by suing the defendants in unjust enrichment.</w:t>
      </w:r>
    </w:p>
    <w:p w:rsidR="00524DE0" w:rsidRDefault="0082184F" w:rsidP="006A6C43">
      <w:pPr>
        <w:ind w:firstLine="720"/>
        <w:rPr>
          <w:rFonts w:ascii="Times New Roman" w:hAnsi="Times New Roman" w:cs="Times New Roman"/>
          <w:sz w:val="24"/>
          <w:szCs w:val="24"/>
        </w:rPr>
      </w:pPr>
      <w:r w:rsidRPr="002D78EB">
        <w:rPr>
          <w:rFonts w:ascii="Times New Roman" w:hAnsi="Times New Roman" w:cs="Times New Roman"/>
          <w:sz w:val="24"/>
          <w:szCs w:val="24"/>
        </w:rPr>
        <w:t>Further, a remedy will be denied to the claimant if he or she took the risk of non-payment in providing the servicer. So, for example, if the claimant provided a service whilst negotiating a contract with the defendant, the claimant will not receive payment for the service if he or she took the risk of a contract not being signed.</w:t>
      </w:r>
      <w:r w:rsidRPr="002D78EB">
        <w:rPr>
          <w:rStyle w:val="FootnoteReference"/>
          <w:rFonts w:ascii="Times New Roman" w:hAnsi="Times New Roman" w:cs="Times New Roman"/>
          <w:sz w:val="24"/>
          <w:szCs w:val="24"/>
        </w:rPr>
        <w:footnoteReference w:id="76"/>
      </w:r>
    </w:p>
    <w:p w:rsidR="00524DE0" w:rsidRDefault="00524DE0" w:rsidP="00524DE0">
      <w:pPr>
        <w:rPr>
          <w:rFonts w:ascii="Times New Roman" w:hAnsi="Times New Roman" w:cs="Times New Roman"/>
          <w:i/>
          <w:sz w:val="24"/>
          <w:szCs w:val="24"/>
        </w:rPr>
      </w:pPr>
      <w:r>
        <w:rPr>
          <w:rFonts w:ascii="Times New Roman" w:hAnsi="Times New Roman" w:cs="Times New Roman"/>
          <w:i/>
          <w:sz w:val="24"/>
          <w:szCs w:val="24"/>
        </w:rPr>
        <w:t>(v) Defence</w:t>
      </w:r>
    </w:p>
    <w:p w:rsidR="00183FBB" w:rsidRPr="00524DE0" w:rsidRDefault="006A6C43" w:rsidP="00524DE0">
      <w:pPr>
        <w:rPr>
          <w:rFonts w:ascii="Times New Roman" w:hAnsi="Times New Roman" w:cs="Times New Roman"/>
          <w:i/>
          <w:sz w:val="24"/>
          <w:szCs w:val="24"/>
        </w:rPr>
      </w:pPr>
      <w:r>
        <w:rPr>
          <w:rFonts w:ascii="Times New Roman" w:hAnsi="Times New Roman" w:cs="Times New Roman"/>
          <w:sz w:val="24"/>
          <w:szCs w:val="24"/>
        </w:rPr>
        <w:t>Fin</w:t>
      </w:r>
      <w:r w:rsidR="00815254">
        <w:rPr>
          <w:rFonts w:ascii="Times New Roman" w:hAnsi="Times New Roman" w:cs="Times New Roman"/>
          <w:sz w:val="24"/>
          <w:szCs w:val="24"/>
        </w:rPr>
        <w:t>ally, the claim will be defeate</w:t>
      </w:r>
      <w:r>
        <w:rPr>
          <w:rFonts w:ascii="Times New Roman" w:hAnsi="Times New Roman" w:cs="Times New Roman"/>
          <w:sz w:val="24"/>
          <w:szCs w:val="24"/>
        </w:rPr>
        <w:t>d</w:t>
      </w:r>
      <w:r w:rsidR="00815254">
        <w:rPr>
          <w:rFonts w:ascii="Times New Roman" w:hAnsi="Times New Roman" w:cs="Times New Roman"/>
          <w:sz w:val="24"/>
          <w:szCs w:val="24"/>
        </w:rPr>
        <w:t xml:space="preserve"> or qualified by the o</w:t>
      </w:r>
      <w:r>
        <w:rPr>
          <w:rFonts w:ascii="Times New Roman" w:hAnsi="Times New Roman" w:cs="Times New Roman"/>
          <w:sz w:val="24"/>
          <w:szCs w:val="24"/>
        </w:rPr>
        <w:t>p</w:t>
      </w:r>
      <w:r w:rsidR="00815254">
        <w:rPr>
          <w:rFonts w:ascii="Times New Roman" w:hAnsi="Times New Roman" w:cs="Times New Roman"/>
          <w:sz w:val="24"/>
          <w:szCs w:val="24"/>
        </w:rPr>
        <w:t>e</w:t>
      </w:r>
      <w:r>
        <w:rPr>
          <w:rFonts w:ascii="Times New Roman" w:hAnsi="Times New Roman" w:cs="Times New Roman"/>
          <w:sz w:val="24"/>
          <w:szCs w:val="24"/>
        </w:rPr>
        <w:t>ration of defences, most sign</w:t>
      </w:r>
      <w:r w:rsidR="00815254">
        <w:rPr>
          <w:rFonts w:ascii="Times New Roman" w:hAnsi="Times New Roman" w:cs="Times New Roman"/>
          <w:sz w:val="24"/>
          <w:szCs w:val="24"/>
        </w:rPr>
        <w:t>ifi</w:t>
      </w:r>
      <w:r>
        <w:rPr>
          <w:rFonts w:ascii="Times New Roman" w:hAnsi="Times New Roman" w:cs="Times New Roman"/>
          <w:sz w:val="24"/>
          <w:szCs w:val="24"/>
        </w:rPr>
        <w:t>cantly change of position,</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such that, if the defendant changed his or her position in good faith in reliance on the receipt of the service then, to the extent of that change of position, the claim for restitution will be defeated.</w:t>
      </w:r>
    </w:p>
    <w:p w:rsidR="00200630" w:rsidRPr="002D78EB" w:rsidRDefault="00200630" w:rsidP="00DF283F">
      <w:pPr>
        <w:rPr>
          <w:rFonts w:ascii="Times New Roman" w:hAnsi="Times New Roman" w:cs="Times New Roman"/>
          <w:i/>
          <w:sz w:val="24"/>
          <w:szCs w:val="24"/>
        </w:rPr>
      </w:pPr>
      <w:r w:rsidRPr="002D78EB">
        <w:rPr>
          <w:rFonts w:ascii="Times New Roman" w:hAnsi="Times New Roman" w:cs="Times New Roman"/>
          <w:i/>
          <w:sz w:val="24"/>
          <w:szCs w:val="24"/>
        </w:rPr>
        <w:t xml:space="preserve">(c) </w:t>
      </w:r>
      <w:proofErr w:type="spellStart"/>
      <w:r w:rsidRPr="002D78EB">
        <w:rPr>
          <w:rFonts w:ascii="Times New Roman" w:hAnsi="Times New Roman" w:cs="Times New Roman"/>
          <w:i/>
          <w:sz w:val="24"/>
          <w:szCs w:val="24"/>
        </w:rPr>
        <w:t>Unconscionability</w:t>
      </w:r>
      <w:proofErr w:type="spellEnd"/>
    </w:p>
    <w:p w:rsidR="00200630" w:rsidRPr="002D78EB" w:rsidRDefault="00200630" w:rsidP="00280131">
      <w:pPr>
        <w:rPr>
          <w:rFonts w:ascii="Times New Roman" w:hAnsi="Times New Roman" w:cs="Times New Roman"/>
          <w:sz w:val="24"/>
          <w:szCs w:val="24"/>
        </w:rPr>
      </w:pPr>
      <w:r w:rsidRPr="002D78EB">
        <w:rPr>
          <w:rFonts w:ascii="Times New Roman" w:hAnsi="Times New Roman" w:cs="Times New Roman"/>
          <w:sz w:val="24"/>
          <w:szCs w:val="24"/>
        </w:rPr>
        <w:t xml:space="preserve">The significance of </w:t>
      </w:r>
      <w:proofErr w:type="spellStart"/>
      <w:r w:rsidRPr="002D78EB">
        <w:rPr>
          <w:rFonts w:ascii="Times New Roman" w:hAnsi="Times New Roman" w:cs="Times New Roman"/>
          <w:sz w:val="24"/>
          <w:szCs w:val="24"/>
        </w:rPr>
        <w:t>unconscionability</w:t>
      </w:r>
      <w:proofErr w:type="spellEnd"/>
      <w:r w:rsidRPr="002D78EB">
        <w:rPr>
          <w:rFonts w:ascii="Times New Roman" w:hAnsi="Times New Roman" w:cs="Times New Roman"/>
          <w:sz w:val="24"/>
          <w:szCs w:val="24"/>
        </w:rPr>
        <w:t xml:space="preserve"> as the underlying principle for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i/>
          <w:sz w:val="24"/>
          <w:szCs w:val="24"/>
        </w:rPr>
        <w:t xml:space="preserve"> </w:t>
      </w:r>
      <w:r w:rsidRPr="002D78EB">
        <w:rPr>
          <w:rFonts w:ascii="Times New Roman" w:hAnsi="Times New Roman" w:cs="Times New Roman"/>
          <w:sz w:val="24"/>
          <w:szCs w:val="24"/>
        </w:rPr>
        <w:t xml:space="preserve">was recognised in </w:t>
      </w:r>
      <w:r w:rsidRPr="002D78EB">
        <w:rPr>
          <w:rFonts w:ascii="Times New Roman" w:hAnsi="Times New Roman" w:cs="Times New Roman"/>
          <w:i/>
          <w:sz w:val="24"/>
          <w:szCs w:val="24"/>
        </w:rPr>
        <w:t>Countrywide Communications Ltd v ICL Pathway Ltd</w:t>
      </w:r>
      <w:r w:rsidRPr="002D78EB">
        <w:rPr>
          <w:rFonts w:ascii="Times New Roman" w:hAnsi="Times New Roman" w:cs="Times New Roman"/>
          <w:sz w:val="24"/>
          <w:szCs w:val="24"/>
        </w:rPr>
        <w:t>,</w:t>
      </w:r>
      <w:r w:rsidRPr="002D78EB">
        <w:rPr>
          <w:rStyle w:val="FootnoteReference"/>
          <w:rFonts w:ascii="Times New Roman" w:hAnsi="Times New Roman" w:cs="Times New Roman"/>
          <w:sz w:val="24"/>
          <w:szCs w:val="24"/>
        </w:rPr>
        <w:footnoteReference w:id="78"/>
      </w:r>
      <w:r w:rsidRPr="002D78EB">
        <w:rPr>
          <w:rFonts w:ascii="Times New Roman" w:hAnsi="Times New Roman" w:cs="Times New Roman"/>
          <w:sz w:val="24"/>
          <w:szCs w:val="24"/>
        </w:rPr>
        <w:t xml:space="preserve"> where the claimant had provided services in respect of a bid by the defendant to introduce a card system for the supply of financial benefits by the Post Office. No contract was made to appoint the claimant to provide these services, but the claimant anticipated that if it assisted with the bid it would get the formal contract if the bid was successful. The defendant’s bid was successful</w:t>
      </w:r>
      <w:r w:rsidR="00183FBB">
        <w:rPr>
          <w:rFonts w:ascii="Times New Roman" w:hAnsi="Times New Roman" w:cs="Times New Roman"/>
          <w:sz w:val="24"/>
          <w:szCs w:val="24"/>
        </w:rPr>
        <w:t>,</w:t>
      </w:r>
      <w:r w:rsidRPr="002D78EB">
        <w:rPr>
          <w:rFonts w:ascii="Times New Roman" w:hAnsi="Times New Roman" w:cs="Times New Roman"/>
          <w:sz w:val="24"/>
          <w:szCs w:val="24"/>
        </w:rPr>
        <w:t xml:space="preserve"> but no contract was made with the claimant for the future provision of services. The claimant brought a claim for </w:t>
      </w:r>
      <w:r w:rsidRPr="002D78EB">
        <w:rPr>
          <w:rFonts w:ascii="Times New Roman" w:hAnsi="Times New Roman" w:cs="Times New Roman"/>
          <w:i/>
          <w:iCs/>
          <w:sz w:val="24"/>
          <w:szCs w:val="24"/>
        </w:rPr>
        <w:t xml:space="preserve">quantum </w:t>
      </w:r>
      <w:proofErr w:type="spellStart"/>
      <w:r w:rsidRPr="002D78EB">
        <w:rPr>
          <w:rFonts w:ascii="Times New Roman" w:hAnsi="Times New Roman" w:cs="Times New Roman"/>
          <w:i/>
          <w:iCs/>
          <w:sz w:val="24"/>
          <w:szCs w:val="24"/>
        </w:rPr>
        <w:t>meruit</w:t>
      </w:r>
      <w:proofErr w:type="spellEnd"/>
      <w:r w:rsidRPr="002D78EB">
        <w:rPr>
          <w:rFonts w:ascii="Times New Roman" w:hAnsi="Times New Roman" w:cs="Times New Roman"/>
          <w:sz w:val="24"/>
          <w:szCs w:val="24"/>
        </w:rPr>
        <w:t xml:space="preserve"> in respect of the work which it had done. The trial judge found it impossible to formulate a general principle which governs all cases of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He emphasised that much of the problem was caused by trying to categorise these claims as involving unjust enrichment when the real issue was whether the claimant should be compensated for a loss which was unfairly sustained. Consequently, he preferred to analyse the claim as being founded on justice or </w:t>
      </w:r>
      <w:proofErr w:type="spellStart"/>
      <w:r w:rsidRPr="002D78EB">
        <w:rPr>
          <w:rFonts w:ascii="Times New Roman" w:hAnsi="Times New Roman" w:cs="Times New Roman"/>
          <w:sz w:val="24"/>
          <w:szCs w:val="24"/>
        </w:rPr>
        <w:t>unconscionability</w:t>
      </w:r>
      <w:proofErr w:type="spellEnd"/>
      <w:r w:rsidRPr="002D78EB">
        <w:rPr>
          <w:rFonts w:ascii="Times New Roman" w:hAnsi="Times New Roman" w:cs="Times New Roman"/>
          <w:sz w:val="24"/>
          <w:szCs w:val="24"/>
        </w:rPr>
        <w:t xml:space="preserve">. He identified a number of factors to determine whether an obligation should be imposed on the defendant to pay for the service provided. These included: whether the services would normally be provided free of charge; whether the claimant bore the risk of not being paid for the services and whether the defendant had given any assurances that he would not withdraw from the negotiations; whether the defendant had obtained a real benefit; and whether the defendant was at fault in preventing the contract from being made. The judge particularly emphasised the significance of the defendant being enriched and recognised the relevance of the claim being analysed as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The application of these principles led the judge to conclude that the claimant should be recompensed for the work it had done. It was particularly significant that the defendant had benefited from the work and had assured the claimant that a contract would be made if the bid succeeded.</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ab/>
        <w:t xml:space="preserve">Reliance on </w:t>
      </w:r>
      <w:proofErr w:type="spellStart"/>
      <w:r w:rsidRPr="002D78EB">
        <w:rPr>
          <w:rFonts w:ascii="Times New Roman" w:hAnsi="Times New Roman" w:cs="Times New Roman"/>
          <w:sz w:val="24"/>
          <w:szCs w:val="24"/>
        </w:rPr>
        <w:t>unconscionability</w:t>
      </w:r>
      <w:proofErr w:type="spellEnd"/>
      <w:r w:rsidRPr="002D78EB">
        <w:rPr>
          <w:rFonts w:ascii="Times New Roman" w:hAnsi="Times New Roman" w:cs="Times New Roman"/>
          <w:sz w:val="24"/>
          <w:szCs w:val="24"/>
        </w:rPr>
        <w:t xml:space="preserve"> as the underlying basis for a claim in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is </w:t>
      </w:r>
      <w:r w:rsidR="00183FBB">
        <w:rPr>
          <w:rFonts w:ascii="Times New Roman" w:hAnsi="Times New Roman" w:cs="Times New Roman"/>
          <w:sz w:val="24"/>
          <w:szCs w:val="24"/>
        </w:rPr>
        <w:t>fraught with uncertainty, especially because it is unclear whose conscience</w:t>
      </w:r>
      <w:r w:rsidRPr="002D78EB">
        <w:rPr>
          <w:rFonts w:ascii="Times New Roman" w:hAnsi="Times New Roman" w:cs="Times New Roman"/>
          <w:sz w:val="24"/>
          <w:szCs w:val="24"/>
        </w:rPr>
        <w:t xml:space="preserve"> </w:t>
      </w:r>
      <w:r w:rsidR="00183FBB">
        <w:rPr>
          <w:rFonts w:ascii="Times New Roman" w:hAnsi="Times New Roman" w:cs="Times New Roman"/>
          <w:sz w:val="24"/>
          <w:szCs w:val="24"/>
        </w:rPr>
        <w:t xml:space="preserve">is relevant. Is it the defendant’s conscience, subjectively or objectively determined, or the conscience of the court? </w:t>
      </w:r>
      <w:r w:rsidRPr="002D78EB">
        <w:rPr>
          <w:rFonts w:ascii="Times New Roman" w:hAnsi="Times New Roman" w:cs="Times New Roman"/>
          <w:sz w:val="24"/>
          <w:szCs w:val="24"/>
        </w:rPr>
        <w:t xml:space="preserve">The irony of </w:t>
      </w:r>
      <w:r w:rsidRPr="002D78EB">
        <w:rPr>
          <w:rFonts w:ascii="Times New Roman" w:hAnsi="Times New Roman" w:cs="Times New Roman"/>
          <w:i/>
          <w:sz w:val="24"/>
          <w:szCs w:val="24"/>
        </w:rPr>
        <w:t>Countrywide Communication</w:t>
      </w:r>
      <w:r w:rsidRPr="002D78EB">
        <w:rPr>
          <w:rFonts w:ascii="Times New Roman" w:hAnsi="Times New Roman" w:cs="Times New Roman"/>
          <w:sz w:val="24"/>
          <w:szCs w:val="24"/>
        </w:rPr>
        <w:t xml:space="preserve"> is that the claim could easily </w:t>
      </w:r>
      <w:r w:rsidR="00183FBB">
        <w:rPr>
          <w:rFonts w:ascii="Times New Roman" w:hAnsi="Times New Roman" w:cs="Times New Roman"/>
          <w:sz w:val="24"/>
          <w:szCs w:val="24"/>
        </w:rPr>
        <w:t xml:space="preserve">have </w:t>
      </w:r>
      <w:r w:rsidRPr="002D78EB">
        <w:rPr>
          <w:rFonts w:ascii="Times New Roman" w:hAnsi="Times New Roman" w:cs="Times New Roman"/>
          <w:sz w:val="24"/>
          <w:szCs w:val="24"/>
        </w:rPr>
        <w:t>be</w:t>
      </w:r>
      <w:r w:rsidR="00183FBB">
        <w:rPr>
          <w:rFonts w:ascii="Times New Roman" w:hAnsi="Times New Roman" w:cs="Times New Roman"/>
          <w:sz w:val="24"/>
          <w:szCs w:val="24"/>
        </w:rPr>
        <w:t>en</w:t>
      </w:r>
      <w:r w:rsidRPr="002D78EB">
        <w:rPr>
          <w:rFonts w:ascii="Times New Roman" w:hAnsi="Times New Roman" w:cs="Times New Roman"/>
          <w:sz w:val="24"/>
          <w:szCs w:val="24"/>
        </w:rPr>
        <w:t xml:space="preserve"> analysed as being founded on unjust enrichment. The defendant had been benefited by services provided by the claimant. The claimant expected to be paid for the work under a contract. That contract was not fort</w:t>
      </w:r>
      <w:r w:rsidR="00183FBB">
        <w:rPr>
          <w:rFonts w:ascii="Times New Roman" w:hAnsi="Times New Roman" w:cs="Times New Roman"/>
          <w:sz w:val="24"/>
          <w:szCs w:val="24"/>
        </w:rPr>
        <w:t>hcoming and so the basis</w:t>
      </w:r>
      <w:r w:rsidRPr="002D78EB">
        <w:rPr>
          <w:rFonts w:ascii="Times New Roman" w:hAnsi="Times New Roman" w:cs="Times New Roman"/>
          <w:sz w:val="24"/>
          <w:szCs w:val="24"/>
        </w:rPr>
        <w:t xml:space="preserve"> had </w:t>
      </w:r>
      <w:r w:rsidR="00183FBB">
        <w:rPr>
          <w:rFonts w:ascii="Times New Roman" w:hAnsi="Times New Roman" w:cs="Times New Roman"/>
          <w:sz w:val="24"/>
          <w:szCs w:val="24"/>
        </w:rPr>
        <w:t>totally failed. Although</w:t>
      </w:r>
      <w:r w:rsidRPr="002D78EB">
        <w:rPr>
          <w:rFonts w:ascii="Times New Roman" w:hAnsi="Times New Roman" w:cs="Times New Roman"/>
          <w:sz w:val="24"/>
          <w:szCs w:val="24"/>
        </w:rPr>
        <w:t xml:space="preserve"> the claimant had taken a risk that the contract might not be made if the bid was not successful, </w:t>
      </w:r>
      <w:r w:rsidR="00183FBB">
        <w:rPr>
          <w:rFonts w:ascii="Times New Roman" w:hAnsi="Times New Roman" w:cs="Times New Roman"/>
          <w:sz w:val="24"/>
          <w:szCs w:val="24"/>
        </w:rPr>
        <w:t xml:space="preserve">it had not taken the risk that no contract would be made if the bid was successful. </w:t>
      </w:r>
    </w:p>
    <w:p w:rsidR="00200630" w:rsidRPr="002D78EB" w:rsidRDefault="00183FBB" w:rsidP="00DF283F">
      <w:pPr>
        <w:ind w:left="6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w:t>
      </w:r>
      <w:r w:rsidR="00200630" w:rsidRPr="002D78EB">
        <w:rPr>
          <w:rFonts w:ascii="Times New Roman" w:hAnsi="Times New Roman" w:cs="Times New Roman"/>
          <w:sz w:val="24"/>
          <w:szCs w:val="24"/>
        </w:rPr>
        <w:t>nconscionability</w:t>
      </w:r>
      <w:proofErr w:type="spellEnd"/>
      <w:r w:rsidR="00200630" w:rsidRPr="002D78EB">
        <w:rPr>
          <w:rFonts w:ascii="Times New Roman" w:hAnsi="Times New Roman" w:cs="Times New Roman"/>
          <w:sz w:val="24"/>
          <w:szCs w:val="24"/>
        </w:rPr>
        <w:t xml:space="preserve"> has been referred to in other cases as the rationale for the award of a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notably </w:t>
      </w:r>
      <w:r w:rsidR="00200630" w:rsidRPr="002D78EB">
        <w:rPr>
          <w:rFonts w:ascii="Times New Roman" w:hAnsi="Times New Roman" w:cs="Times New Roman"/>
          <w:i/>
          <w:sz w:val="24"/>
          <w:szCs w:val="24"/>
        </w:rPr>
        <w:t>MSM Consulting Ltd v United Republic of Tanzania</w:t>
      </w:r>
      <w:r w:rsidR="00200630" w:rsidRPr="002D78EB">
        <w:rPr>
          <w:rFonts w:ascii="Times New Roman" w:hAnsi="Times New Roman" w:cs="Times New Roman"/>
          <w:sz w:val="24"/>
          <w:szCs w:val="24"/>
        </w:rPr>
        <w:t>.</w:t>
      </w:r>
      <w:r w:rsidR="00200630" w:rsidRPr="002D78EB">
        <w:rPr>
          <w:rStyle w:val="FootnoteReference"/>
          <w:rFonts w:ascii="Times New Roman" w:hAnsi="Times New Roman" w:cs="Times New Roman"/>
          <w:sz w:val="24"/>
          <w:szCs w:val="24"/>
        </w:rPr>
        <w:footnoteReference w:id="79"/>
      </w:r>
      <w:r w:rsidR="00200630" w:rsidRPr="002D78EB">
        <w:rPr>
          <w:rFonts w:ascii="Times New Roman" w:hAnsi="Times New Roman" w:cs="Times New Roman"/>
          <w:sz w:val="24"/>
          <w:szCs w:val="24"/>
        </w:rPr>
        <w:t xml:space="preserve"> In that case the claimant sought to recover either a commission or a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from the defendant in respect of work which the claimant had done in searching to find new premises for the defendant’s High Commission in London. On the assumption that no contract had been made, the claimant sought a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A number of propositions were identified by Christopher Clarke J.</w:t>
      </w:r>
      <w:r w:rsidR="00200630" w:rsidRPr="002D78EB">
        <w:rPr>
          <w:rStyle w:val="FootnoteReference"/>
          <w:rFonts w:ascii="Times New Roman" w:hAnsi="Times New Roman" w:cs="Times New Roman"/>
          <w:sz w:val="24"/>
          <w:szCs w:val="24"/>
        </w:rPr>
        <w:footnoteReference w:id="80"/>
      </w:r>
      <w:r w:rsidR="00200630" w:rsidRPr="002D78EB">
        <w:rPr>
          <w:rFonts w:ascii="Times New Roman" w:hAnsi="Times New Roman" w:cs="Times New Roman"/>
          <w:sz w:val="24"/>
          <w:szCs w:val="24"/>
        </w:rPr>
        <w:t xml:space="preserve"> He recognised that the key question was whether ‘the law should, as a matter of justice, impose upon the defendant an obligation to make payment of an amount which he deserved to be paid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He considered that such an obligation was likely to be imposed where the defendant had received an incontrovertible benefit, such as an immediate financial gain or the saving of an expense, as a result of the claimant’s services, or where the defendant requested the services or accepted them when he </w:t>
      </w:r>
      <w:r w:rsidR="00DB46CC">
        <w:rPr>
          <w:rFonts w:ascii="Times New Roman" w:hAnsi="Times New Roman" w:cs="Times New Roman"/>
          <w:sz w:val="24"/>
          <w:szCs w:val="24"/>
        </w:rPr>
        <w:t xml:space="preserve">or she </w:t>
      </w:r>
      <w:r w:rsidR="00200630" w:rsidRPr="002D78EB">
        <w:rPr>
          <w:rFonts w:ascii="Times New Roman" w:hAnsi="Times New Roman" w:cs="Times New Roman"/>
          <w:sz w:val="24"/>
          <w:szCs w:val="24"/>
        </w:rPr>
        <w:t xml:space="preserve">had the opportunity to refuse them, knowing that they were not being provided gratuitously. This is clearly an enrichment analysis, but </w:t>
      </w:r>
      <w:r w:rsidR="00DB46CC">
        <w:rPr>
          <w:rFonts w:ascii="Times New Roman" w:hAnsi="Times New Roman" w:cs="Times New Roman"/>
          <w:sz w:val="24"/>
          <w:szCs w:val="24"/>
        </w:rPr>
        <w:t>t</w:t>
      </w:r>
      <w:r w:rsidR="00200630" w:rsidRPr="002D78EB">
        <w:rPr>
          <w:rFonts w:ascii="Times New Roman" w:hAnsi="Times New Roman" w:cs="Times New Roman"/>
          <w:sz w:val="24"/>
          <w:szCs w:val="24"/>
        </w:rPr>
        <w:t xml:space="preserve">he </w:t>
      </w:r>
      <w:r w:rsidR="00DB46CC">
        <w:rPr>
          <w:rFonts w:ascii="Times New Roman" w:hAnsi="Times New Roman" w:cs="Times New Roman"/>
          <w:sz w:val="24"/>
          <w:szCs w:val="24"/>
        </w:rPr>
        <w:t xml:space="preserve">judge </w:t>
      </w:r>
      <w:r w:rsidR="00200630" w:rsidRPr="002D78EB">
        <w:rPr>
          <w:rFonts w:ascii="Times New Roman" w:hAnsi="Times New Roman" w:cs="Times New Roman"/>
          <w:sz w:val="24"/>
          <w:szCs w:val="24"/>
        </w:rPr>
        <w:t xml:space="preserve">made no reference to the law of unjust enrichment. He also recognised that the court might not regard it as just to impose an obligation to pay for the service if the claimant took the risk that he or she would only be reimbursed if there was a concluded contract or the court considers that in all the circumstances the risk should fall on the claimant. Crucially, </w:t>
      </w:r>
      <w:r w:rsidR="00DB46CC">
        <w:rPr>
          <w:rFonts w:ascii="Times New Roman" w:hAnsi="Times New Roman" w:cs="Times New Roman"/>
          <w:sz w:val="24"/>
          <w:szCs w:val="24"/>
        </w:rPr>
        <w:t xml:space="preserve">he considered that </w:t>
      </w:r>
      <w:r w:rsidR="00200630" w:rsidRPr="002D78EB">
        <w:rPr>
          <w:rFonts w:ascii="Times New Roman" w:hAnsi="Times New Roman" w:cs="Times New Roman"/>
          <w:sz w:val="24"/>
          <w:szCs w:val="24"/>
        </w:rPr>
        <w:t>the court might regard it as just to impose an obligation on a defendant who received the benefit but behaved unconscionably in declining to pay for it.</w:t>
      </w:r>
    </w:p>
    <w:p w:rsidR="00200630" w:rsidRPr="002D78EB" w:rsidRDefault="00200630" w:rsidP="00DF283F">
      <w:pPr>
        <w:ind w:left="60"/>
        <w:rPr>
          <w:rFonts w:ascii="Times New Roman" w:hAnsi="Times New Roman" w:cs="Times New Roman"/>
          <w:sz w:val="24"/>
          <w:szCs w:val="24"/>
        </w:rPr>
      </w:pPr>
      <w:r w:rsidRPr="002D78EB">
        <w:rPr>
          <w:rFonts w:ascii="Times New Roman" w:hAnsi="Times New Roman" w:cs="Times New Roman"/>
          <w:sz w:val="24"/>
          <w:szCs w:val="24"/>
        </w:rPr>
        <w:tab/>
        <w:t>On the facts</w:t>
      </w:r>
      <w:r w:rsidR="00F6360A">
        <w:rPr>
          <w:rFonts w:ascii="Times New Roman" w:hAnsi="Times New Roman" w:cs="Times New Roman"/>
          <w:sz w:val="24"/>
          <w:szCs w:val="24"/>
        </w:rPr>
        <w:t>,</w:t>
      </w:r>
      <w:r w:rsidRPr="002D78EB">
        <w:rPr>
          <w:rFonts w:ascii="Times New Roman" w:hAnsi="Times New Roman" w:cs="Times New Roman"/>
          <w:sz w:val="24"/>
          <w:szCs w:val="24"/>
        </w:rPr>
        <w:t xml:space="preserve"> the claim</w:t>
      </w:r>
      <w:r w:rsidR="00183FBB">
        <w:rPr>
          <w:rFonts w:ascii="Times New Roman" w:hAnsi="Times New Roman" w:cs="Times New Roman"/>
          <w:sz w:val="24"/>
          <w:szCs w:val="24"/>
        </w:rPr>
        <w:t>ant was found to have done</w:t>
      </w:r>
      <w:r w:rsidRPr="002D78EB">
        <w:rPr>
          <w:rFonts w:ascii="Times New Roman" w:hAnsi="Times New Roman" w:cs="Times New Roman"/>
          <w:sz w:val="24"/>
          <w:szCs w:val="24"/>
        </w:rPr>
        <w:t xml:space="preserve"> the work in the hope that a contract might be forthcoming and it was not considered to be the sort of work for which the defendant should pay if no contract was forthcoming. It was </w:t>
      </w:r>
      <w:r w:rsidR="00DB46CC">
        <w:rPr>
          <w:rFonts w:ascii="Times New Roman" w:hAnsi="Times New Roman" w:cs="Times New Roman"/>
          <w:sz w:val="24"/>
          <w:szCs w:val="24"/>
        </w:rPr>
        <w:t xml:space="preserve">consequently </w:t>
      </w:r>
      <w:r w:rsidRPr="002D78EB">
        <w:rPr>
          <w:rFonts w:ascii="Times New Roman" w:hAnsi="Times New Roman" w:cs="Times New Roman"/>
          <w:sz w:val="24"/>
          <w:szCs w:val="24"/>
        </w:rPr>
        <w:t xml:space="preserve">not unconscionable for the defendant not to pay once the negotiations had collapsed. This was because the defendant had not been made aware of the hours of research which had been undertaken </w:t>
      </w:r>
      <w:r w:rsidR="00F6360A">
        <w:rPr>
          <w:rFonts w:ascii="Times New Roman" w:hAnsi="Times New Roman" w:cs="Times New Roman"/>
          <w:sz w:val="24"/>
          <w:szCs w:val="24"/>
        </w:rPr>
        <w:t xml:space="preserve">by the claimant </w:t>
      </w:r>
      <w:r w:rsidRPr="002D78EB">
        <w:rPr>
          <w:rFonts w:ascii="Times New Roman" w:hAnsi="Times New Roman" w:cs="Times New Roman"/>
          <w:sz w:val="24"/>
          <w:szCs w:val="24"/>
        </w:rPr>
        <w:t>or the proposed rate of charge. Further, even though had a contract been made the claimant would only have been paid under it if it had been the effective cause of the property being purchased for the defendant, this was not considered to be a decisive factor. The failure to agree a contract was not due to the fault of either party. There had been no assurance of payment. The defendant’s benefit was limited, in that it had simply been shown around certain properties. The benefit to the defendant was not such that it would be unjustly enriched if it did not pay for it. So there was no liability to pay for the services.</w:t>
      </w:r>
    </w:p>
    <w:p w:rsidR="00200630" w:rsidRPr="00DB46CC" w:rsidRDefault="00200630" w:rsidP="00DF283F">
      <w:pPr>
        <w:ind w:left="60"/>
        <w:rPr>
          <w:rFonts w:ascii="Times New Roman" w:hAnsi="Times New Roman" w:cs="Times New Roman"/>
          <w:sz w:val="24"/>
          <w:szCs w:val="24"/>
        </w:rPr>
      </w:pPr>
      <w:r w:rsidRPr="002D78EB">
        <w:rPr>
          <w:rFonts w:ascii="Times New Roman" w:hAnsi="Times New Roman" w:cs="Times New Roman"/>
          <w:sz w:val="24"/>
          <w:szCs w:val="24"/>
        </w:rPr>
        <w:tab/>
        <w:t xml:space="preserve">This again appears to be a case where unjust enrichment reasoning could usefully have been employed, and in fact it was to some extent. It appears that the defendant could not have been considered to have been enriched by the claimant’s work and this by itself would have been a sufficient reason to deny the claim for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Relying on unjust enrichment reasoning is a much more clear and defensible mode of analysing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i/>
          <w:sz w:val="24"/>
          <w:szCs w:val="24"/>
        </w:rPr>
        <w:t> </w:t>
      </w:r>
      <w:r w:rsidRPr="002D78EB">
        <w:rPr>
          <w:rFonts w:ascii="Times New Roman" w:hAnsi="Times New Roman" w:cs="Times New Roman"/>
          <w:sz w:val="24"/>
          <w:szCs w:val="24"/>
        </w:rPr>
        <w:t xml:space="preserve">cases than </w:t>
      </w:r>
      <w:proofErr w:type="spellStart"/>
      <w:r w:rsidRPr="002D78EB">
        <w:rPr>
          <w:rFonts w:ascii="Times New Roman" w:hAnsi="Times New Roman" w:cs="Times New Roman"/>
          <w:sz w:val="24"/>
          <w:szCs w:val="24"/>
        </w:rPr>
        <w:t>unconscionability</w:t>
      </w:r>
      <w:proofErr w:type="spellEnd"/>
      <w:r w:rsidRPr="002D78EB">
        <w:rPr>
          <w:rFonts w:ascii="Times New Roman" w:hAnsi="Times New Roman" w:cs="Times New Roman"/>
          <w:sz w:val="24"/>
          <w:szCs w:val="24"/>
        </w:rPr>
        <w:t xml:space="preserve">, especially where the courts have regard to elements of the unjust enrichment principle to determine what </w:t>
      </w:r>
      <w:proofErr w:type="spellStart"/>
      <w:r w:rsidRPr="002D78EB">
        <w:rPr>
          <w:rFonts w:ascii="Times New Roman" w:hAnsi="Times New Roman" w:cs="Times New Roman"/>
          <w:sz w:val="24"/>
          <w:szCs w:val="24"/>
        </w:rPr>
        <w:t>unconscionability</w:t>
      </w:r>
      <w:proofErr w:type="spellEnd"/>
      <w:r w:rsidRPr="002D78EB">
        <w:rPr>
          <w:rFonts w:ascii="Times New Roman" w:hAnsi="Times New Roman" w:cs="Times New Roman"/>
          <w:sz w:val="24"/>
          <w:szCs w:val="24"/>
        </w:rPr>
        <w:t xml:space="preserve"> might mean.</w:t>
      </w:r>
      <w:r w:rsidR="00DB46CC">
        <w:rPr>
          <w:rFonts w:ascii="Times New Roman" w:hAnsi="Times New Roman" w:cs="Times New Roman"/>
          <w:sz w:val="24"/>
          <w:szCs w:val="24"/>
        </w:rPr>
        <w:t xml:space="preserve"> But if </w:t>
      </w:r>
      <w:proofErr w:type="spellStart"/>
      <w:r w:rsidR="004721A5">
        <w:rPr>
          <w:rFonts w:ascii="Times New Roman" w:hAnsi="Times New Roman" w:cs="Times New Roman"/>
          <w:sz w:val="24"/>
          <w:szCs w:val="24"/>
        </w:rPr>
        <w:t>unconscionability</w:t>
      </w:r>
      <w:proofErr w:type="spellEnd"/>
      <w:r w:rsidR="00DB46CC">
        <w:rPr>
          <w:rFonts w:ascii="Times New Roman" w:hAnsi="Times New Roman" w:cs="Times New Roman"/>
          <w:sz w:val="24"/>
          <w:szCs w:val="24"/>
        </w:rPr>
        <w:t xml:space="preserve"> is to be adopted as the justification for </w:t>
      </w:r>
      <w:r w:rsidR="004721A5">
        <w:rPr>
          <w:rFonts w:ascii="Times New Roman" w:hAnsi="Times New Roman" w:cs="Times New Roman"/>
          <w:i/>
          <w:sz w:val="24"/>
          <w:szCs w:val="24"/>
        </w:rPr>
        <w:t>quantum</w:t>
      </w:r>
      <w:r w:rsidR="00DB46CC">
        <w:rPr>
          <w:rFonts w:ascii="Times New Roman" w:hAnsi="Times New Roman" w:cs="Times New Roman"/>
          <w:i/>
          <w:sz w:val="24"/>
          <w:szCs w:val="24"/>
        </w:rPr>
        <w:t xml:space="preserve"> </w:t>
      </w:r>
      <w:proofErr w:type="spellStart"/>
      <w:r w:rsidR="00DB46CC">
        <w:rPr>
          <w:rFonts w:ascii="Times New Roman" w:hAnsi="Times New Roman" w:cs="Times New Roman"/>
          <w:i/>
          <w:sz w:val="24"/>
          <w:szCs w:val="24"/>
        </w:rPr>
        <w:t>meruit</w:t>
      </w:r>
      <w:proofErr w:type="spellEnd"/>
      <w:r w:rsidR="00DB46CC">
        <w:rPr>
          <w:rFonts w:ascii="Times New Roman" w:hAnsi="Times New Roman" w:cs="Times New Roman"/>
          <w:sz w:val="24"/>
          <w:szCs w:val="24"/>
        </w:rPr>
        <w:t>, ultimately the court needs to be clear as to whose conscience is relevant. Such clarity is completely lacking.</w:t>
      </w:r>
    </w:p>
    <w:p w:rsidR="00200630" w:rsidRPr="002D78EB" w:rsidRDefault="00200630" w:rsidP="00DF283F">
      <w:pPr>
        <w:rPr>
          <w:rFonts w:ascii="Times New Roman" w:hAnsi="Times New Roman" w:cs="Times New Roman"/>
          <w:i/>
          <w:sz w:val="24"/>
          <w:szCs w:val="24"/>
        </w:rPr>
      </w:pPr>
      <w:r w:rsidRPr="002D78EB">
        <w:rPr>
          <w:rFonts w:ascii="Times New Roman" w:hAnsi="Times New Roman" w:cs="Times New Roman"/>
          <w:i/>
          <w:sz w:val="24"/>
          <w:szCs w:val="24"/>
        </w:rPr>
        <w:t>(d) Reliance</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 xml:space="preserve">An alternative rationale for the award of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might be the claimant’s reliance, induced by the d</w:t>
      </w:r>
      <w:r w:rsidR="00DB46CC">
        <w:rPr>
          <w:rFonts w:ascii="Times New Roman" w:hAnsi="Times New Roman" w:cs="Times New Roman"/>
          <w:sz w:val="24"/>
          <w:szCs w:val="24"/>
        </w:rPr>
        <w:t>efendant, that the claimant would</w:t>
      </w:r>
      <w:r w:rsidRPr="002D78EB">
        <w:rPr>
          <w:rFonts w:ascii="Times New Roman" w:hAnsi="Times New Roman" w:cs="Times New Roman"/>
          <w:sz w:val="24"/>
          <w:szCs w:val="24"/>
        </w:rPr>
        <w:t xml:space="preserve"> be paid for the service. This appears to have been a reason why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was awarded in </w:t>
      </w:r>
      <w:r w:rsidRPr="002D78EB">
        <w:rPr>
          <w:rFonts w:ascii="Times New Roman" w:hAnsi="Times New Roman" w:cs="Times New Roman"/>
          <w:i/>
          <w:sz w:val="24"/>
          <w:szCs w:val="24"/>
        </w:rPr>
        <w:t xml:space="preserve">Yeoman’s Row v </w:t>
      </w:r>
      <w:proofErr w:type="spellStart"/>
      <w:r w:rsidRPr="002D78EB">
        <w:rPr>
          <w:rFonts w:ascii="Times New Roman" w:hAnsi="Times New Roman" w:cs="Times New Roman"/>
          <w:i/>
          <w:sz w:val="24"/>
          <w:szCs w:val="24"/>
        </w:rPr>
        <w:t>Cobbe</w:t>
      </w:r>
      <w:proofErr w:type="spellEnd"/>
      <w:r w:rsidRPr="002D78EB">
        <w:rPr>
          <w:rFonts w:ascii="Times New Roman" w:hAnsi="Times New Roman" w:cs="Times New Roman"/>
          <w:i/>
          <w:sz w:val="24"/>
          <w:szCs w:val="24"/>
        </w:rPr>
        <w:t>,</w:t>
      </w:r>
      <w:r w:rsidRPr="002D78EB">
        <w:rPr>
          <w:rStyle w:val="FootnoteReference"/>
          <w:rFonts w:ascii="Times New Roman" w:hAnsi="Times New Roman" w:cs="Times New Roman"/>
          <w:sz w:val="24"/>
          <w:szCs w:val="24"/>
        </w:rPr>
        <w:footnoteReference w:id="81"/>
      </w:r>
      <w:r w:rsidRPr="002D78EB">
        <w:rPr>
          <w:rFonts w:ascii="Times New Roman" w:hAnsi="Times New Roman" w:cs="Times New Roman"/>
          <w:sz w:val="24"/>
          <w:szCs w:val="24"/>
        </w:rPr>
        <w:t xml:space="preserve"> because the claimant had relied on the oral agreement to purchase the property for which he was obtaining planning permission, and the defendant, knowing that the claimant had provided the services in the expectation of purchasing the property under an enforceable contract, withdrew from the negotiations.</w:t>
      </w:r>
    </w:p>
    <w:p w:rsidR="00200630" w:rsidRPr="00F6360A"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ab/>
        <w:t xml:space="preserve">This reliance principle may in fact merge into that of </w:t>
      </w:r>
      <w:proofErr w:type="spellStart"/>
      <w:r w:rsidRPr="002D78EB">
        <w:rPr>
          <w:rFonts w:ascii="Times New Roman" w:hAnsi="Times New Roman" w:cs="Times New Roman"/>
          <w:sz w:val="24"/>
          <w:szCs w:val="24"/>
        </w:rPr>
        <w:t>unconscionability</w:t>
      </w:r>
      <w:proofErr w:type="spellEnd"/>
      <w:r w:rsidRPr="002D78EB">
        <w:rPr>
          <w:rFonts w:ascii="Times New Roman" w:hAnsi="Times New Roman" w:cs="Times New Roman"/>
          <w:sz w:val="24"/>
          <w:szCs w:val="24"/>
        </w:rPr>
        <w:t xml:space="preserve">, since both have regard to the defendant’s fault in frustrating the claimant’s expectations of payment for the service provided. </w:t>
      </w:r>
      <w:r w:rsidR="00F6360A">
        <w:rPr>
          <w:rFonts w:ascii="Times New Roman" w:hAnsi="Times New Roman" w:cs="Times New Roman"/>
          <w:sz w:val="24"/>
          <w:szCs w:val="24"/>
        </w:rPr>
        <w:t xml:space="preserve">But, if reliance is a distinct justification to establish a claim for </w:t>
      </w:r>
      <w:r w:rsidR="00F6360A">
        <w:rPr>
          <w:rFonts w:ascii="Times New Roman" w:hAnsi="Times New Roman" w:cs="Times New Roman"/>
          <w:i/>
          <w:sz w:val="24"/>
          <w:szCs w:val="24"/>
        </w:rPr>
        <w:t xml:space="preserve">quantum </w:t>
      </w:r>
      <w:proofErr w:type="spellStart"/>
      <w:r w:rsidR="00F6360A">
        <w:rPr>
          <w:rFonts w:ascii="Times New Roman" w:hAnsi="Times New Roman" w:cs="Times New Roman"/>
          <w:i/>
          <w:sz w:val="24"/>
          <w:szCs w:val="24"/>
        </w:rPr>
        <w:t>meruit</w:t>
      </w:r>
      <w:proofErr w:type="spellEnd"/>
      <w:r w:rsidR="00F6360A">
        <w:rPr>
          <w:rFonts w:ascii="Times New Roman" w:hAnsi="Times New Roman" w:cs="Times New Roman"/>
          <w:sz w:val="24"/>
          <w:szCs w:val="24"/>
        </w:rPr>
        <w:t>, it is unclear what the rational</w:t>
      </w:r>
      <w:r w:rsidR="00DB46CC">
        <w:rPr>
          <w:rFonts w:ascii="Times New Roman" w:hAnsi="Times New Roman" w:cs="Times New Roman"/>
          <w:sz w:val="24"/>
          <w:szCs w:val="24"/>
        </w:rPr>
        <w:t>e</w:t>
      </w:r>
      <w:r w:rsidR="00F6360A">
        <w:rPr>
          <w:rFonts w:ascii="Times New Roman" w:hAnsi="Times New Roman" w:cs="Times New Roman"/>
          <w:sz w:val="24"/>
          <w:szCs w:val="24"/>
        </w:rPr>
        <w:t xml:space="preserve"> for liability might be. For the language of reliance has connotations of estoppel, and estoppel is generally not a source of rights in English law. There is no reason why estoppel-based reasoning should justify the imposition of liability where s</w:t>
      </w:r>
      <w:r w:rsidR="00DB46CC">
        <w:rPr>
          <w:rFonts w:ascii="Times New Roman" w:hAnsi="Times New Roman" w:cs="Times New Roman"/>
          <w:sz w:val="24"/>
          <w:szCs w:val="24"/>
        </w:rPr>
        <w:t>ervices have been provided since</w:t>
      </w:r>
      <w:r w:rsidR="00F6360A">
        <w:rPr>
          <w:rFonts w:ascii="Times New Roman" w:hAnsi="Times New Roman" w:cs="Times New Roman"/>
          <w:sz w:val="24"/>
          <w:szCs w:val="24"/>
        </w:rPr>
        <w:t xml:space="preserve"> reliance does not generally create liability.</w:t>
      </w:r>
    </w:p>
    <w:p w:rsidR="00200630" w:rsidRPr="00DF283F" w:rsidRDefault="00200630" w:rsidP="00DF283F">
      <w:pPr>
        <w:rPr>
          <w:rFonts w:ascii="Times New Roman" w:hAnsi="Times New Roman" w:cs="Times New Roman"/>
          <w:sz w:val="24"/>
          <w:szCs w:val="24"/>
        </w:rPr>
      </w:pPr>
      <w:r w:rsidRPr="002D78EB">
        <w:rPr>
          <w:rFonts w:ascii="Times New Roman" w:hAnsi="Times New Roman" w:cs="Times New Roman"/>
          <w:i/>
          <w:sz w:val="24"/>
          <w:szCs w:val="24"/>
        </w:rPr>
        <w:t>(e) Conclusions</w:t>
      </w:r>
    </w:p>
    <w:p w:rsidR="00F6360A" w:rsidRPr="00DB46CC" w:rsidRDefault="00F6360A" w:rsidP="00DF283F">
      <w:pPr>
        <w:rPr>
          <w:rFonts w:ascii="Times New Roman" w:hAnsi="Times New Roman" w:cs="Times New Roman"/>
          <w:sz w:val="24"/>
          <w:szCs w:val="24"/>
        </w:rPr>
      </w:pPr>
      <w:r>
        <w:rPr>
          <w:rFonts w:ascii="Times New Roman" w:hAnsi="Times New Roman" w:cs="Times New Roman"/>
          <w:sz w:val="24"/>
          <w:szCs w:val="24"/>
        </w:rPr>
        <w:t xml:space="preserve">This analysis of the possible explanations for a </w:t>
      </w:r>
      <w:r>
        <w:rPr>
          <w:rFonts w:ascii="Times New Roman" w:hAnsi="Times New Roman" w:cs="Times New Roman"/>
          <w:i/>
          <w:sz w:val="24"/>
          <w:szCs w:val="24"/>
        </w:rPr>
        <w:t xml:space="preserve">quantum </w:t>
      </w:r>
      <w:proofErr w:type="spellStart"/>
      <w:r>
        <w:rPr>
          <w:rFonts w:ascii="Times New Roman" w:hAnsi="Times New Roman" w:cs="Times New Roman"/>
          <w:i/>
          <w:sz w:val="24"/>
          <w:szCs w:val="24"/>
        </w:rPr>
        <w:t>meruit</w:t>
      </w:r>
      <w:proofErr w:type="spellEnd"/>
      <w:r>
        <w:rPr>
          <w:rFonts w:ascii="Times New Roman" w:hAnsi="Times New Roman" w:cs="Times New Roman"/>
          <w:sz w:val="24"/>
          <w:szCs w:val="24"/>
        </w:rPr>
        <w:t xml:space="preserve"> award reveal that </w:t>
      </w:r>
      <w:proofErr w:type="spellStart"/>
      <w:r>
        <w:rPr>
          <w:rFonts w:ascii="Times New Roman" w:hAnsi="Times New Roman" w:cs="Times New Roman"/>
          <w:sz w:val="24"/>
          <w:szCs w:val="24"/>
        </w:rPr>
        <w:t>unconscionability</w:t>
      </w:r>
      <w:proofErr w:type="spellEnd"/>
      <w:r>
        <w:rPr>
          <w:rFonts w:ascii="Times New Roman" w:hAnsi="Times New Roman" w:cs="Times New Roman"/>
          <w:sz w:val="24"/>
          <w:szCs w:val="24"/>
        </w:rPr>
        <w:t xml:space="preserve"> and reliance are not convincing, especially because the language of unjust enrichment is typically used when analysing such claims. By far the most appropriate explanation of </w:t>
      </w:r>
      <w:r>
        <w:rPr>
          <w:rFonts w:ascii="Times New Roman" w:hAnsi="Times New Roman" w:cs="Times New Roman"/>
          <w:i/>
          <w:sz w:val="24"/>
          <w:szCs w:val="24"/>
        </w:rPr>
        <w:t xml:space="preserve">quantum </w:t>
      </w:r>
      <w:proofErr w:type="spellStart"/>
      <w:r>
        <w:rPr>
          <w:rFonts w:ascii="Times New Roman" w:hAnsi="Times New Roman" w:cs="Times New Roman"/>
          <w:i/>
          <w:sz w:val="24"/>
          <w:szCs w:val="24"/>
        </w:rPr>
        <w:t>meruit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awards is that they operate to reverse the defendant’s unjust enrichment. Where the defendant has benefited from a service provided by the claimant, then it is the fact that the defendant has </w:t>
      </w:r>
      <w:r w:rsidR="00DB46CC">
        <w:rPr>
          <w:rFonts w:ascii="Times New Roman" w:hAnsi="Times New Roman" w:cs="Times New Roman"/>
          <w:sz w:val="24"/>
          <w:szCs w:val="24"/>
        </w:rPr>
        <w:t xml:space="preserve">been </w:t>
      </w:r>
      <w:r>
        <w:rPr>
          <w:rFonts w:ascii="Times New Roman" w:hAnsi="Times New Roman" w:cs="Times New Roman"/>
          <w:sz w:val="24"/>
          <w:szCs w:val="24"/>
        </w:rPr>
        <w:t>benefited in circumstances where the claimant did not intend the defendant to be benefited gratuitously which justifies the imposition of liability.</w:t>
      </w:r>
      <w:r w:rsidR="00E64A64">
        <w:rPr>
          <w:rFonts w:ascii="Times New Roman" w:hAnsi="Times New Roman" w:cs="Times New Roman"/>
          <w:sz w:val="24"/>
          <w:szCs w:val="24"/>
        </w:rPr>
        <w:t xml:space="preserve"> It is unjust enrichment which creates the claimant’s right to be paid. But it is a fundamental principle that t</w:t>
      </w:r>
      <w:r w:rsidR="00DB46CC">
        <w:rPr>
          <w:rFonts w:ascii="Times New Roman" w:hAnsi="Times New Roman" w:cs="Times New Roman"/>
          <w:sz w:val="24"/>
          <w:szCs w:val="24"/>
        </w:rPr>
        <w:t>here will be no right</w:t>
      </w:r>
      <w:r w:rsidR="004721A5">
        <w:rPr>
          <w:rFonts w:ascii="Times New Roman" w:hAnsi="Times New Roman" w:cs="Times New Roman"/>
          <w:sz w:val="24"/>
          <w:szCs w:val="24"/>
        </w:rPr>
        <w:t xml:space="preserve"> </w:t>
      </w:r>
      <w:r w:rsidR="00DB46CC">
        <w:rPr>
          <w:rFonts w:ascii="Times New Roman" w:hAnsi="Times New Roman" w:cs="Times New Roman"/>
          <w:sz w:val="24"/>
          <w:szCs w:val="24"/>
        </w:rPr>
        <w:t>to restitution</w:t>
      </w:r>
      <w:r w:rsidR="00E64A64">
        <w:rPr>
          <w:rFonts w:ascii="Times New Roman" w:hAnsi="Times New Roman" w:cs="Times New Roman"/>
          <w:sz w:val="24"/>
          <w:szCs w:val="24"/>
        </w:rPr>
        <w:t xml:space="preserve"> where the defendant’s basis for the receipt of the service can be legally justified, typically because it was transferred pursuant </w:t>
      </w:r>
      <w:r w:rsidR="00E64A64" w:rsidRPr="00DB46CC">
        <w:rPr>
          <w:rFonts w:ascii="Times New Roman" w:hAnsi="Times New Roman" w:cs="Times New Roman"/>
          <w:sz w:val="24"/>
          <w:szCs w:val="24"/>
        </w:rPr>
        <w:t>to a valid contract which has not been set aside.</w:t>
      </w:r>
    </w:p>
    <w:p w:rsidR="00200630" w:rsidRPr="00DB46CC" w:rsidRDefault="00FA71E5" w:rsidP="00DF283F">
      <w:pPr>
        <w:rPr>
          <w:rFonts w:ascii="Times New Roman" w:hAnsi="Times New Roman" w:cs="Times New Roman"/>
          <w:b/>
          <w:i/>
          <w:sz w:val="24"/>
          <w:szCs w:val="24"/>
        </w:rPr>
      </w:pPr>
      <w:r w:rsidRPr="00DB46CC">
        <w:rPr>
          <w:rFonts w:ascii="Times New Roman" w:hAnsi="Times New Roman" w:cs="Times New Roman"/>
          <w:b/>
          <w:sz w:val="24"/>
          <w:szCs w:val="24"/>
        </w:rPr>
        <w:t>4</w:t>
      </w:r>
      <w:r w:rsidR="00200630" w:rsidRPr="00DB46CC">
        <w:rPr>
          <w:rFonts w:ascii="Times New Roman" w:hAnsi="Times New Roman" w:cs="Times New Roman"/>
          <w:b/>
          <w:sz w:val="24"/>
          <w:szCs w:val="24"/>
        </w:rPr>
        <w:t>.</w:t>
      </w:r>
      <w:r w:rsidR="00200630" w:rsidRPr="00DB46CC">
        <w:rPr>
          <w:rFonts w:ascii="Times New Roman" w:hAnsi="Times New Roman" w:cs="Times New Roman"/>
          <w:b/>
          <w:sz w:val="24"/>
          <w:szCs w:val="24"/>
        </w:rPr>
        <w:tab/>
        <w:t xml:space="preserve">The rationale of </w:t>
      </w:r>
      <w:r w:rsidR="00200630" w:rsidRPr="00DB46CC">
        <w:rPr>
          <w:rFonts w:ascii="Times New Roman" w:hAnsi="Times New Roman" w:cs="Times New Roman"/>
          <w:b/>
          <w:i/>
          <w:sz w:val="24"/>
          <w:szCs w:val="24"/>
        </w:rPr>
        <w:t xml:space="preserve">quantum </w:t>
      </w:r>
      <w:proofErr w:type="spellStart"/>
      <w:r w:rsidR="00200630" w:rsidRPr="00DB46CC">
        <w:rPr>
          <w:rFonts w:ascii="Times New Roman" w:hAnsi="Times New Roman" w:cs="Times New Roman"/>
          <w:b/>
          <w:i/>
          <w:sz w:val="24"/>
          <w:szCs w:val="24"/>
        </w:rPr>
        <w:t>meruit</w:t>
      </w:r>
      <w:proofErr w:type="spellEnd"/>
      <w:r w:rsidR="00200630" w:rsidRPr="00DB46CC">
        <w:rPr>
          <w:rFonts w:ascii="Times New Roman" w:hAnsi="Times New Roman" w:cs="Times New Roman"/>
          <w:b/>
          <w:i/>
          <w:sz w:val="24"/>
          <w:szCs w:val="24"/>
        </w:rPr>
        <w:t xml:space="preserve"> </w:t>
      </w:r>
      <w:r w:rsidR="00200630" w:rsidRPr="00DB46CC">
        <w:rPr>
          <w:rFonts w:ascii="Times New Roman" w:hAnsi="Times New Roman" w:cs="Times New Roman"/>
          <w:b/>
          <w:sz w:val="24"/>
          <w:szCs w:val="24"/>
        </w:rPr>
        <w:t>as a remedy</w:t>
      </w:r>
    </w:p>
    <w:p w:rsidR="00200630" w:rsidRPr="002D78EB" w:rsidRDefault="00200630" w:rsidP="00DF283F">
      <w:pPr>
        <w:rPr>
          <w:rFonts w:ascii="Times New Roman" w:hAnsi="Times New Roman" w:cs="Times New Roman"/>
          <w:sz w:val="24"/>
          <w:szCs w:val="24"/>
        </w:rPr>
      </w:pPr>
      <w:r w:rsidRPr="002D78EB">
        <w:rPr>
          <w:rFonts w:ascii="Times New Roman" w:hAnsi="Times New Roman" w:cs="Times New Roman"/>
          <w:sz w:val="24"/>
          <w:szCs w:val="24"/>
        </w:rPr>
        <w:t xml:space="preserve">If the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remedy is awarded by reference to the law of unjust enrichment then the orthodox analysis of that body of law is that the only type of remedy which can be awarded is </w:t>
      </w:r>
      <w:proofErr w:type="spellStart"/>
      <w:r w:rsidRPr="002D78EB">
        <w:rPr>
          <w:rFonts w:ascii="Times New Roman" w:hAnsi="Times New Roman" w:cs="Times New Roman"/>
          <w:sz w:val="24"/>
          <w:szCs w:val="24"/>
        </w:rPr>
        <w:t>restitutionary</w:t>
      </w:r>
      <w:proofErr w:type="spellEnd"/>
      <w:r w:rsidRPr="002D78EB">
        <w:rPr>
          <w:rFonts w:ascii="Times New Roman" w:hAnsi="Times New Roman" w:cs="Times New Roman"/>
          <w:sz w:val="24"/>
          <w:szCs w:val="24"/>
        </w:rPr>
        <w:t xml:space="preserve">, in the sense that it is concerned only with </w:t>
      </w:r>
      <w:r w:rsidR="004721A5">
        <w:rPr>
          <w:rFonts w:ascii="Times New Roman" w:hAnsi="Times New Roman" w:cs="Times New Roman"/>
          <w:sz w:val="24"/>
          <w:szCs w:val="24"/>
        </w:rPr>
        <w:t>depriving</w:t>
      </w:r>
      <w:r w:rsidR="00524DE0">
        <w:rPr>
          <w:rFonts w:ascii="Times New Roman" w:hAnsi="Times New Roman" w:cs="Times New Roman"/>
          <w:sz w:val="24"/>
          <w:szCs w:val="24"/>
        </w:rPr>
        <w:t xml:space="preserve"> the defendant of the value of his or her </w:t>
      </w:r>
      <w:r w:rsidRPr="002D78EB">
        <w:rPr>
          <w:rFonts w:ascii="Times New Roman" w:hAnsi="Times New Roman" w:cs="Times New Roman"/>
          <w:sz w:val="24"/>
          <w:szCs w:val="24"/>
        </w:rPr>
        <w:t xml:space="preserve">gain rather than the </w:t>
      </w:r>
      <w:r w:rsidR="00524DE0">
        <w:rPr>
          <w:rFonts w:ascii="Times New Roman" w:hAnsi="Times New Roman" w:cs="Times New Roman"/>
          <w:sz w:val="24"/>
          <w:szCs w:val="24"/>
        </w:rPr>
        <w:t>compensating the claimant for loss suffered</w:t>
      </w:r>
      <w:r w:rsidRPr="002D78EB">
        <w:rPr>
          <w:rFonts w:ascii="Times New Roman" w:hAnsi="Times New Roman" w:cs="Times New Roman"/>
          <w:sz w:val="24"/>
          <w:szCs w:val="24"/>
        </w:rPr>
        <w:t>. The benefit should be valued from the defendant’s perspective and the value of this gain paid to the claimant.</w:t>
      </w:r>
      <w:r w:rsidR="00E64A64">
        <w:rPr>
          <w:rFonts w:ascii="Times New Roman" w:hAnsi="Times New Roman" w:cs="Times New Roman"/>
          <w:sz w:val="24"/>
          <w:szCs w:val="24"/>
        </w:rPr>
        <w:t xml:space="preserve"> This is because the function of the law of unjust enrichment is to correct an injustice by restoring to the claimant what the defendant had gained.</w:t>
      </w:r>
      <w:r w:rsidR="00524DE0">
        <w:rPr>
          <w:rFonts w:ascii="Times New Roman" w:hAnsi="Times New Roman" w:cs="Times New Roman"/>
          <w:sz w:val="24"/>
          <w:szCs w:val="24"/>
        </w:rPr>
        <w:t xml:space="preserve"> Although, there is a view that the defendant’s liability should be capped by the extent of the claimant’s loss. But if the claimant’s loss is greater than the value of the defendant’s gain, the defendant should not be required to pay more to the claimant. Again, the liability should be capped to the extent of the defendant’s gain.</w:t>
      </w:r>
    </w:p>
    <w:p w:rsidR="00524DE0" w:rsidRPr="002F5B49" w:rsidRDefault="00E64A64" w:rsidP="00E53AE4">
      <w:pPr>
        <w:rPr>
          <w:rFonts w:ascii="Times New Roman" w:hAnsi="Times New Roman" w:cs="Times New Roman"/>
          <w:sz w:val="24"/>
          <w:szCs w:val="24"/>
        </w:rPr>
      </w:pPr>
      <w:r>
        <w:rPr>
          <w:rFonts w:ascii="Times New Roman" w:hAnsi="Times New Roman" w:cs="Times New Roman"/>
          <w:sz w:val="24"/>
          <w:szCs w:val="24"/>
        </w:rPr>
        <w:tab/>
        <w:t>T</w:t>
      </w:r>
      <w:r w:rsidR="00200630" w:rsidRPr="002D78EB">
        <w:rPr>
          <w:rFonts w:ascii="Times New Roman" w:hAnsi="Times New Roman" w:cs="Times New Roman"/>
          <w:sz w:val="24"/>
          <w:szCs w:val="24"/>
        </w:rPr>
        <w:t xml:space="preserve">his orthodox analysis of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as a </w:t>
      </w:r>
      <w:proofErr w:type="spellStart"/>
      <w:r w:rsidR="00200630" w:rsidRPr="002D78EB">
        <w:rPr>
          <w:rFonts w:ascii="Times New Roman" w:hAnsi="Times New Roman" w:cs="Times New Roman"/>
          <w:sz w:val="24"/>
          <w:szCs w:val="24"/>
        </w:rPr>
        <w:t>restitutionary</w:t>
      </w:r>
      <w:proofErr w:type="spellEnd"/>
      <w:r w:rsidR="00200630" w:rsidRPr="002D78EB">
        <w:rPr>
          <w:rFonts w:ascii="Times New Roman" w:hAnsi="Times New Roman" w:cs="Times New Roman"/>
          <w:sz w:val="24"/>
          <w:szCs w:val="24"/>
        </w:rPr>
        <w:t xml:space="preserve"> remedy is not always reflected in the cases. Lord Scott in </w:t>
      </w:r>
      <w:r w:rsidR="00200630" w:rsidRPr="002D78EB">
        <w:rPr>
          <w:rFonts w:ascii="Times New Roman" w:hAnsi="Times New Roman" w:cs="Times New Roman"/>
          <w:i/>
          <w:sz w:val="24"/>
          <w:szCs w:val="24"/>
        </w:rPr>
        <w:t xml:space="preserve">Yeoman’s Row v </w:t>
      </w:r>
      <w:proofErr w:type="spellStart"/>
      <w:r w:rsidR="00200630" w:rsidRPr="002D78EB">
        <w:rPr>
          <w:rFonts w:ascii="Times New Roman" w:hAnsi="Times New Roman" w:cs="Times New Roman"/>
          <w:i/>
          <w:sz w:val="24"/>
          <w:szCs w:val="24"/>
        </w:rPr>
        <w:t>Cobbe</w:t>
      </w:r>
      <w:proofErr w:type="spellEnd"/>
      <w:r w:rsidR="00200630" w:rsidRPr="002D78EB">
        <w:rPr>
          <w:rStyle w:val="FootnoteReference"/>
          <w:rFonts w:ascii="Times New Roman" w:hAnsi="Times New Roman" w:cs="Times New Roman"/>
          <w:sz w:val="24"/>
          <w:szCs w:val="24"/>
        </w:rPr>
        <w:footnoteReference w:id="82"/>
      </w:r>
      <w:r w:rsidR="00200630" w:rsidRPr="002D78EB">
        <w:rPr>
          <w:rFonts w:ascii="Times New Roman" w:hAnsi="Times New Roman" w:cs="Times New Roman"/>
          <w:sz w:val="24"/>
          <w:szCs w:val="24"/>
        </w:rPr>
        <w:t xml:space="preserve"> specifically distinguished between the </w:t>
      </w:r>
      <w:proofErr w:type="spellStart"/>
      <w:r w:rsidR="00200630" w:rsidRPr="002D78EB">
        <w:rPr>
          <w:rFonts w:ascii="Times New Roman" w:hAnsi="Times New Roman" w:cs="Times New Roman"/>
          <w:sz w:val="24"/>
          <w:szCs w:val="24"/>
        </w:rPr>
        <w:t>restitutionary</w:t>
      </w:r>
      <w:proofErr w:type="spellEnd"/>
      <w:r w:rsidR="00200630" w:rsidRPr="002D78EB">
        <w:rPr>
          <w:rFonts w:ascii="Times New Roman" w:hAnsi="Times New Roman" w:cs="Times New Roman"/>
          <w:sz w:val="24"/>
          <w:szCs w:val="24"/>
        </w:rPr>
        <w:t xml:space="preserve"> and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remedy. But he also recognised that, on the particular facts of that case at least, that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would ‘represent the extent of the unjust enrichment.’</w:t>
      </w:r>
      <w:r w:rsidR="004721A5">
        <w:rPr>
          <w:rFonts w:ascii="Times New Roman" w:hAnsi="Times New Roman" w:cs="Times New Roman"/>
          <w:sz w:val="24"/>
          <w:szCs w:val="24"/>
        </w:rPr>
        <w:t xml:space="preserve"> </w:t>
      </w:r>
      <w:r w:rsidR="00200630" w:rsidRPr="002D78EB">
        <w:rPr>
          <w:rFonts w:ascii="Times New Roman" w:hAnsi="Times New Roman" w:cs="Times New Roman"/>
          <w:sz w:val="24"/>
          <w:szCs w:val="24"/>
        </w:rPr>
        <w:t xml:space="preserve">There is consequently some fundamental uncertainty in the cases as to the function of </w:t>
      </w:r>
      <w:r w:rsidR="00200630" w:rsidRPr="002D78EB">
        <w:rPr>
          <w:rFonts w:ascii="Times New Roman" w:hAnsi="Times New Roman" w:cs="Times New Roman"/>
          <w:i/>
          <w:sz w:val="24"/>
          <w:szCs w:val="24"/>
        </w:rPr>
        <w:t xml:space="preserve">quantum </w:t>
      </w:r>
      <w:proofErr w:type="spellStart"/>
      <w:r w:rsidR="00200630" w:rsidRPr="002D78EB">
        <w:rPr>
          <w:rFonts w:ascii="Times New Roman" w:hAnsi="Times New Roman" w:cs="Times New Roman"/>
          <w:i/>
          <w:sz w:val="24"/>
          <w:szCs w:val="24"/>
        </w:rPr>
        <w:t>meruit</w:t>
      </w:r>
      <w:proofErr w:type="spellEnd"/>
      <w:r w:rsidR="00200630" w:rsidRPr="002D78EB">
        <w:rPr>
          <w:rFonts w:ascii="Times New Roman" w:hAnsi="Times New Roman" w:cs="Times New Roman"/>
          <w:sz w:val="24"/>
          <w:szCs w:val="24"/>
        </w:rPr>
        <w:t xml:space="preserve"> as a remedy. Does it have a </w:t>
      </w:r>
      <w:r w:rsidR="00524DE0">
        <w:rPr>
          <w:rFonts w:ascii="Times New Roman" w:hAnsi="Times New Roman" w:cs="Times New Roman"/>
          <w:sz w:val="24"/>
          <w:szCs w:val="24"/>
        </w:rPr>
        <w:t xml:space="preserve">solely </w:t>
      </w:r>
      <w:proofErr w:type="spellStart"/>
      <w:r w:rsidR="00200630" w:rsidRPr="002D78EB">
        <w:rPr>
          <w:rFonts w:ascii="Times New Roman" w:hAnsi="Times New Roman" w:cs="Times New Roman"/>
          <w:sz w:val="24"/>
          <w:szCs w:val="24"/>
        </w:rPr>
        <w:t>restitutionary</w:t>
      </w:r>
      <w:proofErr w:type="spellEnd"/>
      <w:r w:rsidR="00200630" w:rsidRPr="002D78EB">
        <w:rPr>
          <w:rFonts w:ascii="Times New Roman" w:hAnsi="Times New Roman" w:cs="Times New Roman"/>
          <w:sz w:val="24"/>
          <w:szCs w:val="24"/>
        </w:rPr>
        <w:t xml:space="preserve"> function or is there in fact a component of compensation for loss suffered</w:t>
      </w:r>
      <w:r w:rsidR="00E53AE4">
        <w:rPr>
          <w:rFonts w:ascii="Times New Roman" w:hAnsi="Times New Roman" w:cs="Times New Roman"/>
          <w:sz w:val="24"/>
          <w:szCs w:val="24"/>
        </w:rPr>
        <w:t>?</w:t>
      </w:r>
      <w:r w:rsidR="002F5B49">
        <w:rPr>
          <w:rFonts w:ascii="Times New Roman" w:hAnsi="Times New Roman" w:cs="Times New Roman"/>
          <w:sz w:val="24"/>
          <w:szCs w:val="24"/>
        </w:rPr>
        <w:t xml:space="preserve"> These issues have been particularly important when determining the relevance of the contract to the assessment of the </w:t>
      </w:r>
      <w:r w:rsidR="002F5B49">
        <w:rPr>
          <w:rFonts w:ascii="Times New Roman" w:hAnsi="Times New Roman" w:cs="Times New Roman"/>
          <w:i/>
          <w:sz w:val="24"/>
          <w:szCs w:val="24"/>
        </w:rPr>
        <w:t xml:space="preserve">quantum </w:t>
      </w:r>
      <w:proofErr w:type="spellStart"/>
      <w:r w:rsidR="002F5B49">
        <w:rPr>
          <w:rFonts w:ascii="Times New Roman" w:hAnsi="Times New Roman" w:cs="Times New Roman"/>
          <w:i/>
          <w:sz w:val="24"/>
          <w:szCs w:val="24"/>
        </w:rPr>
        <w:t>meruit</w:t>
      </w:r>
      <w:proofErr w:type="spellEnd"/>
      <w:r w:rsidR="002F5B49">
        <w:rPr>
          <w:rFonts w:ascii="Times New Roman" w:hAnsi="Times New Roman" w:cs="Times New Roman"/>
          <w:sz w:val="24"/>
          <w:szCs w:val="24"/>
        </w:rPr>
        <w:t xml:space="preserve"> and whether the award of </w:t>
      </w:r>
      <w:r w:rsidR="002F5B49">
        <w:rPr>
          <w:rFonts w:ascii="Times New Roman" w:hAnsi="Times New Roman" w:cs="Times New Roman"/>
          <w:i/>
          <w:sz w:val="24"/>
          <w:szCs w:val="24"/>
        </w:rPr>
        <w:t xml:space="preserve">quantum </w:t>
      </w:r>
      <w:proofErr w:type="spellStart"/>
      <w:r w:rsidR="002F5B49">
        <w:rPr>
          <w:rFonts w:ascii="Times New Roman" w:hAnsi="Times New Roman" w:cs="Times New Roman"/>
          <w:i/>
          <w:sz w:val="24"/>
          <w:szCs w:val="24"/>
        </w:rPr>
        <w:t>meruit</w:t>
      </w:r>
      <w:proofErr w:type="spellEnd"/>
      <w:r w:rsidR="002F5B49">
        <w:rPr>
          <w:rFonts w:ascii="Times New Roman" w:hAnsi="Times New Roman" w:cs="Times New Roman"/>
          <w:sz w:val="24"/>
          <w:szCs w:val="24"/>
        </w:rPr>
        <w:t xml:space="preserve"> enables the claimant to be remunerated for the services provided.</w:t>
      </w:r>
    </w:p>
    <w:p w:rsidR="00AB6352" w:rsidRPr="00AB6352" w:rsidRDefault="00AB6352" w:rsidP="0066378C">
      <w:pP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w:t>
      </w:r>
      <w:r>
        <w:rPr>
          <w:rFonts w:ascii="Times New Roman" w:hAnsi="Times New Roman" w:cs="Times New Roman"/>
          <w:i/>
          <w:sz w:val="24"/>
          <w:szCs w:val="24"/>
        </w:rPr>
        <w:tab/>
        <w:t xml:space="preserve"> </w:t>
      </w:r>
      <w:r w:rsidR="002F5B49">
        <w:rPr>
          <w:rFonts w:ascii="Times New Roman" w:hAnsi="Times New Roman" w:cs="Times New Roman"/>
          <w:i/>
          <w:sz w:val="24"/>
          <w:szCs w:val="24"/>
        </w:rPr>
        <w:t>The relevance of the contract</w:t>
      </w:r>
    </w:p>
    <w:p w:rsidR="00AB6352" w:rsidRPr="002D78EB" w:rsidRDefault="00AB6352" w:rsidP="002F5B49">
      <w:pPr>
        <w:spacing w:before="100" w:beforeAutospacing="1" w:after="100" w:afterAutospacing="1"/>
        <w:rPr>
          <w:rFonts w:ascii="Times New Roman" w:hAnsi="Times New Roman" w:cs="Times New Roman"/>
          <w:sz w:val="24"/>
          <w:szCs w:val="24"/>
        </w:rPr>
      </w:pPr>
      <w:r w:rsidRPr="002D78EB">
        <w:rPr>
          <w:rFonts w:ascii="Times New Roman" w:hAnsi="Times New Roman" w:cs="Times New Roman"/>
          <w:sz w:val="24"/>
          <w:szCs w:val="24"/>
        </w:rPr>
        <w:t xml:space="preserve">One of the key issues in assessing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concerns the relevance of any prior negotiations or agreement. In some cases this may be the best evidence of the appropriate value to place on the service</w:t>
      </w:r>
      <w:r>
        <w:rPr>
          <w:rFonts w:ascii="Times New Roman" w:hAnsi="Times New Roman" w:cs="Times New Roman"/>
          <w:sz w:val="24"/>
          <w:szCs w:val="24"/>
        </w:rPr>
        <w:t xml:space="preserve"> received by the defendant</w:t>
      </w:r>
      <w:r w:rsidRPr="002D78EB">
        <w:rPr>
          <w:rFonts w:ascii="Times New Roman" w:hAnsi="Times New Roman" w:cs="Times New Roman"/>
          <w:sz w:val="24"/>
          <w:szCs w:val="24"/>
        </w:rPr>
        <w:t>. So, in</w:t>
      </w:r>
      <w:bookmarkStart w:id="1" w:name="para529"/>
      <w:r w:rsidRPr="002D78EB">
        <w:rPr>
          <w:rFonts w:ascii="Times New Roman" w:hAnsi="Times New Roman" w:cs="Times New Roman"/>
          <w:sz w:val="24"/>
          <w:szCs w:val="24"/>
        </w:rPr>
        <w:t xml:space="preserve"> </w:t>
      </w:r>
      <w:proofErr w:type="spellStart"/>
      <w:r w:rsidRPr="002D78EB">
        <w:rPr>
          <w:rFonts w:ascii="Times New Roman" w:hAnsi="Times New Roman" w:cs="Times New Roman"/>
          <w:i/>
          <w:iCs/>
          <w:sz w:val="24"/>
          <w:szCs w:val="24"/>
        </w:rPr>
        <w:t>Scarisbrick</w:t>
      </w:r>
      <w:proofErr w:type="spellEnd"/>
      <w:r w:rsidRPr="002D78EB">
        <w:rPr>
          <w:rFonts w:ascii="Times New Roman" w:hAnsi="Times New Roman" w:cs="Times New Roman"/>
          <w:i/>
          <w:iCs/>
          <w:sz w:val="24"/>
          <w:szCs w:val="24"/>
        </w:rPr>
        <w:t xml:space="preserve"> v Parkinson</w:t>
      </w:r>
      <w:r w:rsidRPr="002D78EB">
        <w:rPr>
          <w:rStyle w:val="FootnoteReference"/>
          <w:rFonts w:ascii="Times New Roman" w:hAnsi="Times New Roman" w:cs="Times New Roman"/>
          <w:sz w:val="24"/>
          <w:szCs w:val="24"/>
        </w:rPr>
        <w:footnoteReference w:id="83"/>
      </w:r>
      <w:r w:rsidRPr="002D78EB">
        <w:rPr>
          <w:rFonts w:ascii="Times New Roman" w:hAnsi="Times New Roman" w:cs="Times New Roman"/>
          <w:iCs/>
          <w:sz w:val="24"/>
          <w:szCs w:val="24"/>
        </w:rPr>
        <w:t xml:space="preserve"> even though a contract to employ a minor was unenforceable for lack of writing, it could still be admitted in evidence on a claim for </w:t>
      </w:r>
      <w:r w:rsidRPr="002D78EB">
        <w:rPr>
          <w:rFonts w:ascii="Times New Roman" w:hAnsi="Times New Roman" w:cs="Times New Roman"/>
          <w:i/>
          <w:iCs/>
          <w:sz w:val="24"/>
          <w:szCs w:val="24"/>
        </w:rPr>
        <w:t xml:space="preserve">quantum </w:t>
      </w:r>
      <w:proofErr w:type="spellStart"/>
      <w:r w:rsidRPr="002D78EB">
        <w:rPr>
          <w:rFonts w:ascii="Times New Roman" w:hAnsi="Times New Roman" w:cs="Times New Roman"/>
          <w:i/>
          <w:iCs/>
          <w:sz w:val="24"/>
          <w:szCs w:val="24"/>
        </w:rPr>
        <w:t>meruit</w:t>
      </w:r>
      <w:proofErr w:type="spellEnd"/>
      <w:r w:rsidRPr="002D78EB">
        <w:rPr>
          <w:rFonts w:ascii="Times New Roman" w:hAnsi="Times New Roman" w:cs="Times New Roman"/>
          <w:iCs/>
          <w:sz w:val="24"/>
          <w:szCs w:val="24"/>
        </w:rPr>
        <w:t xml:space="preserve">, to show ‘the value </w:t>
      </w:r>
      <w:r w:rsidRPr="002D78EB">
        <w:rPr>
          <w:rFonts w:ascii="Times New Roman" w:hAnsi="Times New Roman" w:cs="Times New Roman"/>
          <w:sz w:val="24"/>
          <w:szCs w:val="24"/>
        </w:rPr>
        <w:t>which the defendant had put upon his services, and so of enabling the jury to estimate such services.’</w:t>
      </w:r>
      <w:r w:rsidRPr="002D78EB">
        <w:rPr>
          <w:rStyle w:val="FootnoteReference"/>
          <w:rFonts w:ascii="Times New Roman" w:hAnsi="Times New Roman" w:cs="Times New Roman"/>
          <w:sz w:val="24"/>
          <w:szCs w:val="24"/>
        </w:rPr>
        <w:footnoteReference w:id="84"/>
      </w:r>
      <w:r w:rsidRPr="002D78EB">
        <w:rPr>
          <w:rFonts w:ascii="Times New Roman" w:hAnsi="Times New Roman" w:cs="Times New Roman"/>
          <w:sz w:val="24"/>
          <w:szCs w:val="24"/>
        </w:rPr>
        <w:t xml:space="preserve"> Similarly, in </w:t>
      </w:r>
      <w:r w:rsidRPr="002D78EB">
        <w:rPr>
          <w:rFonts w:ascii="Times New Roman" w:hAnsi="Times New Roman" w:cs="Times New Roman"/>
          <w:i/>
          <w:sz w:val="24"/>
          <w:szCs w:val="24"/>
        </w:rPr>
        <w:t xml:space="preserve">Way v </w:t>
      </w:r>
      <w:proofErr w:type="spellStart"/>
      <w:r w:rsidRPr="002D78EB">
        <w:rPr>
          <w:rFonts w:ascii="Times New Roman" w:hAnsi="Times New Roman" w:cs="Times New Roman"/>
          <w:i/>
          <w:sz w:val="24"/>
          <w:szCs w:val="24"/>
        </w:rPr>
        <w:t>Latilla</w:t>
      </w:r>
      <w:proofErr w:type="spellEnd"/>
      <w:r w:rsidRPr="002D78EB">
        <w:rPr>
          <w:rStyle w:val="FootnoteReference"/>
          <w:rFonts w:ascii="Times New Roman" w:hAnsi="Times New Roman" w:cs="Times New Roman"/>
          <w:sz w:val="24"/>
          <w:szCs w:val="24"/>
        </w:rPr>
        <w:footnoteReference w:id="85"/>
      </w:r>
      <w:r w:rsidRPr="002D78EB">
        <w:rPr>
          <w:rFonts w:ascii="Times New Roman" w:hAnsi="Times New Roman" w:cs="Times New Roman"/>
          <w:sz w:val="24"/>
          <w:szCs w:val="24"/>
        </w:rPr>
        <w:t xml:space="preserve"> the plaintiff had agreed to provide the defendant with information about gold mines and concessions in West Africa in return for the defendant paying a reasonable sum for the information and giving the plaintiff a share of the concessions. </w:t>
      </w:r>
      <w:r w:rsidR="002F5B49">
        <w:rPr>
          <w:rFonts w:ascii="Times New Roman" w:hAnsi="Times New Roman" w:cs="Times New Roman"/>
          <w:sz w:val="24"/>
          <w:szCs w:val="24"/>
        </w:rPr>
        <w:t xml:space="preserve">The </w:t>
      </w:r>
      <w:r w:rsidRPr="002D78EB">
        <w:rPr>
          <w:rFonts w:ascii="Times New Roman" w:hAnsi="Times New Roman" w:cs="Times New Roman"/>
          <w:sz w:val="24"/>
          <w:szCs w:val="24"/>
        </w:rPr>
        <w:t xml:space="preserve">plaintiff was awarded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consisting of reasonabl</w:t>
      </w:r>
      <w:r w:rsidR="002F5B49">
        <w:rPr>
          <w:rFonts w:ascii="Times New Roman" w:hAnsi="Times New Roman" w:cs="Times New Roman"/>
          <w:sz w:val="24"/>
          <w:szCs w:val="24"/>
        </w:rPr>
        <w:t xml:space="preserve">e remuneration for his services, although this was in fact a case about the implication of a term of the contract about payment for the service. </w:t>
      </w:r>
      <w:r w:rsidRPr="002D78EB">
        <w:rPr>
          <w:rFonts w:ascii="Times New Roman" w:hAnsi="Times New Roman" w:cs="Times New Roman"/>
          <w:sz w:val="24"/>
          <w:szCs w:val="24"/>
        </w:rPr>
        <w:t xml:space="preserve"> Lord </w:t>
      </w:r>
      <w:proofErr w:type="spellStart"/>
      <w:r w:rsidRPr="002D78EB">
        <w:rPr>
          <w:rFonts w:ascii="Times New Roman" w:hAnsi="Times New Roman" w:cs="Times New Roman"/>
          <w:sz w:val="24"/>
          <w:szCs w:val="24"/>
        </w:rPr>
        <w:t>Atkin</w:t>
      </w:r>
      <w:proofErr w:type="spellEnd"/>
      <w:r w:rsidRPr="002D78EB">
        <w:rPr>
          <w:rFonts w:ascii="Times New Roman" w:hAnsi="Times New Roman" w:cs="Times New Roman"/>
          <w:sz w:val="24"/>
          <w:szCs w:val="24"/>
        </w:rPr>
        <w:t xml:space="preserve"> recognised that trade usage would be relevant evidence, but</w:t>
      </w:r>
      <w:r w:rsidR="002F5B49">
        <w:rPr>
          <w:rFonts w:ascii="Times New Roman" w:hAnsi="Times New Roman" w:cs="Times New Roman"/>
          <w:sz w:val="24"/>
          <w:szCs w:val="24"/>
        </w:rPr>
        <w:t>, if this was not available ,</w:t>
      </w:r>
      <w:r w:rsidRPr="002D78EB">
        <w:rPr>
          <w:rFonts w:ascii="Times New Roman" w:hAnsi="Times New Roman" w:cs="Times New Roman"/>
          <w:sz w:val="24"/>
          <w:szCs w:val="24"/>
        </w:rPr>
        <w:t xml:space="preserve"> evidence of the negotiations between the parties was admissible in determining what would be reasonable remuneration, on the ground that this was evidence of the value which each of them put on the services.</w:t>
      </w:r>
      <w:bookmarkStart w:id="2" w:name="para532"/>
      <w:r w:rsidR="002F5B49">
        <w:rPr>
          <w:rFonts w:ascii="Times New Roman" w:hAnsi="Times New Roman" w:cs="Times New Roman"/>
          <w:sz w:val="24"/>
          <w:szCs w:val="24"/>
        </w:rPr>
        <w:t xml:space="preserve"> </w:t>
      </w:r>
      <w:r w:rsidRPr="002D78EB">
        <w:rPr>
          <w:rFonts w:ascii="Times New Roman" w:hAnsi="Times New Roman" w:cs="Times New Roman"/>
          <w:iCs/>
          <w:sz w:val="24"/>
          <w:szCs w:val="24"/>
        </w:rPr>
        <w:t xml:space="preserve">Further, in </w:t>
      </w:r>
      <w:r w:rsidRPr="002D78EB">
        <w:rPr>
          <w:rFonts w:ascii="Times New Roman" w:hAnsi="Times New Roman" w:cs="Times New Roman"/>
          <w:i/>
          <w:iCs/>
          <w:sz w:val="24"/>
          <w:szCs w:val="24"/>
        </w:rPr>
        <w:t>BP Exploration Co (Libya) Ltd v Hunt (No. 2)</w:t>
      </w:r>
      <w:r w:rsidRPr="002D78EB">
        <w:rPr>
          <w:rFonts w:ascii="Times New Roman" w:hAnsi="Times New Roman" w:cs="Times New Roman"/>
          <w:sz w:val="24"/>
          <w:szCs w:val="24"/>
        </w:rPr>
        <w:t>,</w:t>
      </w:r>
      <w:r w:rsidRPr="002D78EB">
        <w:rPr>
          <w:rStyle w:val="FootnoteReference"/>
          <w:rFonts w:ascii="Times New Roman" w:hAnsi="Times New Roman" w:cs="Times New Roman"/>
          <w:sz w:val="24"/>
          <w:szCs w:val="24"/>
        </w:rPr>
        <w:footnoteReference w:id="86"/>
      </w:r>
      <w:r w:rsidRPr="002D78EB">
        <w:rPr>
          <w:rFonts w:ascii="Times New Roman" w:hAnsi="Times New Roman" w:cs="Times New Roman"/>
          <w:sz w:val="24"/>
          <w:szCs w:val="24"/>
        </w:rPr>
        <w:t xml:space="preserve"> albeit in the context of a claim for the award of a just sum under section 1(3) of the Law Reform (Frustrated Contracts) Act 1943), Robert Goff J recognised that the terms of the frustrated contract were relevant when assessing the value of the sum</w:t>
      </w:r>
      <w:bookmarkEnd w:id="2"/>
      <w:r w:rsidRPr="002D78EB">
        <w:rPr>
          <w:rFonts w:ascii="Times New Roman" w:hAnsi="Times New Roman" w:cs="Times New Roman"/>
          <w:sz w:val="24"/>
          <w:szCs w:val="24"/>
        </w:rPr>
        <w:t xml:space="preserve">, since this might assist in the determination of a fee or whether any limit should be imposed on the sum awarded. </w:t>
      </w:r>
    </w:p>
    <w:bookmarkEnd w:id="1"/>
    <w:p w:rsidR="00AB6352" w:rsidRPr="002D78EB" w:rsidRDefault="00AB6352" w:rsidP="00541A81">
      <w:pPr>
        <w:ind w:firstLine="720"/>
        <w:rPr>
          <w:rFonts w:ascii="Times New Roman" w:hAnsi="Times New Roman" w:cs="Times New Roman"/>
          <w:sz w:val="24"/>
          <w:szCs w:val="24"/>
        </w:rPr>
      </w:pPr>
      <w:r w:rsidRPr="002D78EB">
        <w:rPr>
          <w:rFonts w:ascii="Times New Roman" w:hAnsi="Times New Roman" w:cs="Times New Roman"/>
          <w:sz w:val="24"/>
          <w:szCs w:val="24"/>
        </w:rPr>
        <w:t xml:space="preserve">Where the service has been provided pursuant to a contract which the defendant then breaches, the claimant may wish to pursue a claim in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rather than for the contract price if the claimant had entered into a bad bargain. Even if the claimant is allowed to opt for a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it has been recognised that the agreed contract price should constitute an appropriate ceiling for the award</w:t>
      </w:r>
      <w:r w:rsidR="00541A81">
        <w:rPr>
          <w:rFonts w:ascii="Times New Roman" w:hAnsi="Times New Roman" w:cs="Times New Roman"/>
          <w:sz w:val="24"/>
          <w:szCs w:val="24"/>
        </w:rPr>
        <w:t>. I</w:t>
      </w:r>
      <w:r w:rsidR="00541A81" w:rsidRPr="002D78EB">
        <w:rPr>
          <w:rFonts w:ascii="Times New Roman" w:hAnsi="Times New Roman" w:cs="Times New Roman"/>
          <w:sz w:val="24"/>
          <w:szCs w:val="24"/>
        </w:rPr>
        <w:t xml:space="preserve">n </w:t>
      </w:r>
      <w:r w:rsidR="00541A81" w:rsidRPr="002D78EB">
        <w:rPr>
          <w:rFonts w:ascii="Times New Roman" w:hAnsi="Times New Roman" w:cs="Times New Roman"/>
          <w:i/>
          <w:iCs/>
          <w:sz w:val="24"/>
          <w:szCs w:val="24"/>
        </w:rPr>
        <w:t>Taylor v Motability Finance Ltd</w:t>
      </w:r>
      <w:r w:rsidR="00541A81" w:rsidRPr="002D78EB">
        <w:rPr>
          <w:rStyle w:val="FootnoteReference"/>
          <w:rFonts w:ascii="Times New Roman" w:hAnsi="Times New Roman" w:cs="Times New Roman"/>
          <w:sz w:val="24"/>
          <w:szCs w:val="24"/>
        </w:rPr>
        <w:footnoteReference w:id="87"/>
      </w:r>
      <w:r w:rsidR="00541A81" w:rsidRPr="002D78EB">
        <w:rPr>
          <w:rFonts w:ascii="Times New Roman" w:hAnsi="Times New Roman" w:cs="Times New Roman"/>
          <w:i/>
          <w:iCs/>
          <w:sz w:val="24"/>
          <w:szCs w:val="24"/>
        </w:rPr>
        <w:t xml:space="preserve"> </w:t>
      </w:r>
      <w:r w:rsidR="00541A81" w:rsidRPr="002D78EB">
        <w:rPr>
          <w:rFonts w:ascii="Times New Roman" w:hAnsi="Times New Roman" w:cs="Times New Roman"/>
          <w:sz w:val="24"/>
          <w:szCs w:val="24"/>
        </w:rPr>
        <w:t xml:space="preserve">Cooke J stated that there is no justification for the award of a </w:t>
      </w:r>
      <w:proofErr w:type="spellStart"/>
      <w:r w:rsidR="00541A81" w:rsidRPr="002D78EB">
        <w:rPr>
          <w:rFonts w:ascii="Times New Roman" w:hAnsi="Times New Roman" w:cs="Times New Roman"/>
          <w:sz w:val="24"/>
          <w:szCs w:val="24"/>
        </w:rPr>
        <w:t>restitutionary</w:t>
      </w:r>
      <w:proofErr w:type="spellEnd"/>
      <w:r w:rsidR="00541A81" w:rsidRPr="002D78EB">
        <w:rPr>
          <w:rFonts w:ascii="Times New Roman" w:hAnsi="Times New Roman" w:cs="Times New Roman"/>
          <w:sz w:val="24"/>
          <w:szCs w:val="24"/>
        </w:rPr>
        <w:t xml:space="preserve"> remedy which is in</w:t>
      </w:r>
      <w:r w:rsidR="00541A81">
        <w:rPr>
          <w:rFonts w:ascii="Times New Roman" w:hAnsi="Times New Roman" w:cs="Times New Roman"/>
          <w:sz w:val="24"/>
          <w:szCs w:val="24"/>
        </w:rPr>
        <w:t xml:space="preserve"> excess of the contractual ceiling</w:t>
      </w:r>
      <w:r w:rsidR="002F5B49">
        <w:rPr>
          <w:rFonts w:ascii="Times New Roman" w:hAnsi="Times New Roman" w:cs="Times New Roman"/>
          <w:sz w:val="24"/>
          <w:szCs w:val="24"/>
        </w:rPr>
        <w:t xml:space="preserve">, </w:t>
      </w:r>
      <w:r w:rsidR="00541A81" w:rsidRPr="002D78EB">
        <w:rPr>
          <w:rFonts w:ascii="Times New Roman" w:hAnsi="Times New Roman" w:cs="Times New Roman"/>
          <w:sz w:val="24"/>
          <w:szCs w:val="24"/>
        </w:rPr>
        <w:t xml:space="preserve">since the award of such a remedy would put the claimant in a better position than he or she would have been in had the contract been fulfilled which would be unjust. He emphasised that, when determining the </w:t>
      </w:r>
      <w:r w:rsidR="00541A81" w:rsidRPr="002D78EB">
        <w:rPr>
          <w:rFonts w:ascii="Times New Roman" w:hAnsi="Times New Roman" w:cs="Times New Roman"/>
          <w:i/>
          <w:iCs/>
          <w:sz w:val="24"/>
          <w:szCs w:val="24"/>
        </w:rPr>
        <w:t xml:space="preserve">quantum </w:t>
      </w:r>
      <w:proofErr w:type="spellStart"/>
      <w:r w:rsidR="00541A81" w:rsidRPr="002D78EB">
        <w:rPr>
          <w:rFonts w:ascii="Times New Roman" w:hAnsi="Times New Roman" w:cs="Times New Roman"/>
          <w:i/>
          <w:iCs/>
          <w:sz w:val="24"/>
          <w:szCs w:val="24"/>
        </w:rPr>
        <w:t>meruit</w:t>
      </w:r>
      <w:proofErr w:type="spellEnd"/>
      <w:r w:rsidR="00541A81" w:rsidRPr="002D78EB">
        <w:rPr>
          <w:rFonts w:ascii="Times New Roman" w:hAnsi="Times New Roman" w:cs="Times New Roman"/>
          <w:sz w:val="24"/>
          <w:szCs w:val="24"/>
        </w:rPr>
        <w:t>,</w:t>
      </w:r>
      <w:r w:rsidR="00541A81" w:rsidRPr="002D78EB">
        <w:rPr>
          <w:rFonts w:ascii="Times New Roman" w:hAnsi="Times New Roman" w:cs="Times New Roman"/>
          <w:i/>
          <w:iCs/>
          <w:sz w:val="24"/>
          <w:szCs w:val="24"/>
        </w:rPr>
        <w:t xml:space="preserve"> </w:t>
      </w:r>
      <w:r w:rsidR="00541A81" w:rsidRPr="002D78EB">
        <w:rPr>
          <w:rFonts w:ascii="Times New Roman" w:hAnsi="Times New Roman" w:cs="Times New Roman"/>
          <w:sz w:val="24"/>
          <w:szCs w:val="24"/>
        </w:rPr>
        <w:t xml:space="preserve">regard should be had to the contract both as a guide to the value which the parties put on the service and to ensure justice between the parties. The better view, however, is that the fact that the claimant suffered a loss under the contract should be of no relevance to the </w:t>
      </w:r>
      <w:proofErr w:type="spellStart"/>
      <w:r w:rsidR="00541A81" w:rsidRPr="002D78EB">
        <w:rPr>
          <w:rFonts w:ascii="Times New Roman" w:hAnsi="Times New Roman" w:cs="Times New Roman"/>
          <w:sz w:val="24"/>
          <w:szCs w:val="24"/>
        </w:rPr>
        <w:t>restitutionary</w:t>
      </w:r>
      <w:proofErr w:type="spellEnd"/>
      <w:r w:rsidR="00541A81" w:rsidRPr="002D78EB">
        <w:rPr>
          <w:rFonts w:ascii="Times New Roman" w:hAnsi="Times New Roman" w:cs="Times New Roman"/>
          <w:sz w:val="24"/>
          <w:szCs w:val="24"/>
        </w:rPr>
        <w:t xml:space="preserve"> claim because, by definition, the contract is no longer subsisting. Cooke J’s approach in </w:t>
      </w:r>
      <w:r w:rsidR="00541A81" w:rsidRPr="002D78EB">
        <w:rPr>
          <w:rFonts w:ascii="Times New Roman" w:hAnsi="Times New Roman" w:cs="Times New Roman"/>
          <w:i/>
          <w:iCs/>
          <w:sz w:val="24"/>
          <w:szCs w:val="24"/>
        </w:rPr>
        <w:t>Taylor v Motability Finance</w:t>
      </w:r>
      <w:r w:rsidR="00541A81" w:rsidRPr="002D78EB">
        <w:rPr>
          <w:rFonts w:ascii="Times New Roman" w:hAnsi="Times New Roman" w:cs="Times New Roman"/>
          <w:sz w:val="24"/>
          <w:szCs w:val="24"/>
        </w:rPr>
        <w:t xml:space="preserve"> appears to have been based on his assumption that, where a </w:t>
      </w:r>
      <w:r w:rsidR="004721A5" w:rsidRPr="002D78EB">
        <w:rPr>
          <w:rFonts w:ascii="Times New Roman" w:hAnsi="Times New Roman" w:cs="Times New Roman"/>
          <w:i/>
          <w:iCs/>
          <w:sz w:val="24"/>
          <w:szCs w:val="24"/>
        </w:rPr>
        <w:t>quantum</w:t>
      </w:r>
      <w:r w:rsidR="00541A81" w:rsidRPr="002D78EB">
        <w:rPr>
          <w:rFonts w:ascii="Times New Roman" w:hAnsi="Times New Roman" w:cs="Times New Roman"/>
          <w:i/>
          <w:iCs/>
          <w:sz w:val="24"/>
          <w:szCs w:val="24"/>
        </w:rPr>
        <w:t xml:space="preserve"> </w:t>
      </w:r>
      <w:proofErr w:type="spellStart"/>
      <w:r w:rsidR="00541A81" w:rsidRPr="002D78EB">
        <w:rPr>
          <w:rFonts w:ascii="Times New Roman" w:hAnsi="Times New Roman" w:cs="Times New Roman"/>
          <w:i/>
          <w:iCs/>
          <w:sz w:val="24"/>
          <w:szCs w:val="24"/>
        </w:rPr>
        <w:t>meruit</w:t>
      </w:r>
      <w:proofErr w:type="spellEnd"/>
      <w:r w:rsidR="00541A81" w:rsidRPr="002D78EB">
        <w:rPr>
          <w:rFonts w:ascii="Times New Roman" w:hAnsi="Times New Roman" w:cs="Times New Roman"/>
          <w:i/>
          <w:iCs/>
          <w:sz w:val="24"/>
          <w:szCs w:val="24"/>
        </w:rPr>
        <w:t xml:space="preserve"> </w:t>
      </w:r>
      <w:r w:rsidR="00541A81" w:rsidRPr="002D78EB">
        <w:rPr>
          <w:rFonts w:ascii="Times New Roman" w:hAnsi="Times New Roman" w:cs="Times New Roman"/>
          <w:sz w:val="24"/>
          <w:szCs w:val="24"/>
        </w:rPr>
        <w:t>claim</w:t>
      </w:r>
      <w:r w:rsidR="00541A81" w:rsidRPr="002D78EB">
        <w:rPr>
          <w:rFonts w:ascii="Times New Roman" w:hAnsi="Times New Roman" w:cs="Times New Roman"/>
          <w:i/>
          <w:iCs/>
          <w:sz w:val="24"/>
          <w:szCs w:val="24"/>
        </w:rPr>
        <w:t xml:space="preserve"> </w:t>
      </w:r>
      <w:r w:rsidR="00541A81" w:rsidRPr="002D78EB">
        <w:rPr>
          <w:rFonts w:ascii="Times New Roman" w:hAnsi="Times New Roman" w:cs="Times New Roman"/>
          <w:sz w:val="24"/>
          <w:szCs w:val="24"/>
        </w:rPr>
        <w:t xml:space="preserve">is brought, the contractual regime remains operative, at least where the claimant has substantially performed the contract. This is unnecessarily complicated and the preferable view is that, once the contract is no longer operating, an unjust enrichment claim can be made </w:t>
      </w:r>
      <w:r w:rsidR="00541A81">
        <w:rPr>
          <w:rFonts w:ascii="Times New Roman" w:hAnsi="Times New Roman" w:cs="Times New Roman"/>
          <w:sz w:val="24"/>
          <w:szCs w:val="24"/>
        </w:rPr>
        <w:t xml:space="preserve">which is </w:t>
      </w:r>
      <w:r w:rsidR="00541A81" w:rsidRPr="002D78EB">
        <w:rPr>
          <w:rFonts w:ascii="Times New Roman" w:hAnsi="Times New Roman" w:cs="Times New Roman"/>
          <w:sz w:val="24"/>
          <w:szCs w:val="24"/>
        </w:rPr>
        <w:t>unaffected by the contractual regime.</w:t>
      </w:r>
      <w:r w:rsidR="00541A81">
        <w:rPr>
          <w:rFonts w:ascii="Times New Roman" w:hAnsi="Times New Roman" w:cs="Times New Roman"/>
          <w:sz w:val="24"/>
          <w:szCs w:val="24"/>
        </w:rPr>
        <w:t xml:space="preserve"> This was recognised in </w:t>
      </w:r>
      <w:proofErr w:type="spellStart"/>
      <w:r w:rsidRPr="002D78EB">
        <w:rPr>
          <w:rFonts w:ascii="Times New Roman" w:hAnsi="Times New Roman" w:cs="Times New Roman"/>
          <w:i/>
          <w:sz w:val="24"/>
          <w:szCs w:val="24"/>
        </w:rPr>
        <w:t>Sopov</w:t>
      </w:r>
      <w:proofErr w:type="spellEnd"/>
      <w:r w:rsidRPr="002D78EB">
        <w:rPr>
          <w:rFonts w:ascii="Times New Roman" w:hAnsi="Times New Roman" w:cs="Times New Roman"/>
          <w:i/>
          <w:sz w:val="24"/>
          <w:szCs w:val="24"/>
        </w:rPr>
        <w:t xml:space="preserve"> v Kane Constructions Pty Ltd (No 2)</w:t>
      </w:r>
      <w:r w:rsidR="002F5B49">
        <w:rPr>
          <w:rFonts w:ascii="Times New Roman" w:hAnsi="Times New Roman" w:cs="Times New Roman"/>
          <w:sz w:val="24"/>
          <w:szCs w:val="24"/>
        </w:rPr>
        <w:t>,</w:t>
      </w:r>
      <w:r w:rsidRPr="002D78EB">
        <w:rPr>
          <w:rStyle w:val="FootnoteReference"/>
          <w:rFonts w:ascii="Times New Roman" w:hAnsi="Times New Roman" w:cs="Times New Roman"/>
          <w:sz w:val="24"/>
          <w:szCs w:val="24"/>
        </w:rPr>
        <w:footnoteReference w:id="88"/>
      </w:r>
      <w:r w:rsidRPr="002D78EB">
        <w:rPr>
          <w:rFonts w:ascii="Times New Roman" w:hAnsi="Times New Roman" w:cs="Times New Roman"/>
          <w:sz w:val="24"/>
          <w:szCs w:val="24"/>
        </w:rPr>
        <w:t xml:space="preserve"> </w:t>
      </w:r>
      <w:r w:rsidR="00541A81">
        <w:rPr>
          <w:rFonts w:ascii="Times New Roman" w:hAnsi="Times New Roman" w:cs="Times New Roman"/>
          <w:sz w:val="24"/>
          <w:szCs w:val="24"/>
        </w:rPr>
        <w:t xml:space="preserve">where </w:t>
      </w:r>
      <w:r w:rsidRPr="002D78EB">
        <w:rPr>
          <w:rFonts w:ascii="Times New Roman" w:hAnsi="Times New Roman" w:cs="Times New Roman"/>
          <w:sz w:val="24"/>
          <w:szCs w:val="24"/>
        </w:rPr>
        <w:t xml:space="preserve">the Court of Appeal of Victoria held that </w:t>
      </w:r>
      <w:r w:rsidRPr="002D78EB">
        <w:rPr>
          <w:rFonts w:ascii="Times New Roman" w:hAnsi="Times New Roman" w:cs="Times New Roman"/>
          <w:color w:val="000000"/>
          <w:sz w:val="24"/>
          <w:szCs w:val="24"/>
        </w:rPr>
        <w:t xml:space="preserve">the contract price should not operate as a ceiling on the amount recoverable on a </w:t>
      </w:r>
      <w:r w:rsidRPr="002D78EB">
        <w:rPr>
          <w:rFonts w:ascii="Times New Roman" w:hAnsi="Times New Roman" w:cs="Times New Roman"/>
          <w:i/>
          <w:color w:val="000000"/>
          <w:sz w:val="24"/>
          <w:szCs w:val="24"/>
        </w:rPr>
        <w:t xml:space="preserve">quantum </w:t>
      </w:r>
      <w:proofErr w:type="spellStart"/>
      <w:r w:rsidRPr="002D78EB">
        <w:rPr>
          <w:rFonts w:ascii="Times New Roman" w:hAnsi="Times New Roman" w:cs="Times New Roman"/>
          <w:i/>
          <w:color w:val="000000"/>
          <w:sz w:val="24"/>
          <w:szCs w:val="24"/>
        </w:rPr>
        <w:t>meruit</w:t>
      </w:r>
      <w:proofErr w:type="spellEnd"/>
      <w:r>
        <w:rPr>
          <w:rFonts w:ascii="Times New Roman" w:hAnsi="Times New Roman" w:cs="Times New Roman"/>
          <w:color w:val="000000"/>
          <w:sz w:val="24"/>
          <w:szCs w:val="24"/>
        </w:rPr>
        <w:t xml:space="preserve">, </w:t>
      </w:r>
      <w:r w:rsidR="00541A81" w:rsidRPr="002D78EB">
        <w:rPr>
          <w:rFonts w:ascii="Times New Roman" w:hAnsi="Times New Roman" w:cs="Times New Roman"/>
          <w:sz w:val="24"/>
          <w:szCs w:val="24"/>
        </w:rPr>
        <w:t xml:space="preserve">because </w:t>
      </w:r>
      <w:r w:rsidR="00541A81" w:rsidRPr="002D78EB">
        <w:rPr>
          <w:rFonts w:ascii="Times New Roman" w:hAnsi="Times New Roman" w:cs="Times New Roman"/>
          <w:i/>
          <w:sz w:val="24"/>
          <w:szCs w:val="24"/>
        </w:rPr>
        <w:t xml:space="preserve">quantum </w:t>
      </w:r>
      <w:proofErr w:type="spellStart"/>
      <w:r w:rsidR="00541A81" w:rsidRPr="002D78EB">
        <w:rPr>
          <w:rFonts w:ascii="Times New Roman" w:hAnsi="Times New Roman" w:cs="Times New Roman"/>
          <w:i/>
          <w:sz w:val="24"/>
          <w:szCs w:val="24"/>
        </w:rPr>
        <w:t>meruit</w:t>
      </w:r>
      <w:proofErr w:type="spellEnd"/>
      <w:r w:rsidR="00541A81" w:rsidRPr="002D78EB">
        <w:rPr>
          <w:rFonts w:ascii="Times New Roman" w:hAnsi="Times New Roman" w:cs="Times New Roman"/>
          <w:sz w:val="24"/>
          <w:szCs w:val="24"/>
        </w:rPr>
        <w:t xml:space="preserve"> is based on a fiction that the contract ceases to exist </w:t>
      </w:r>
      <w:proofErr w:type="spellStart"/>
      <w:r w:rsidR="00541A81" w:rsidRPr="002F5B49">
        <w:rPr>
          <w:rFonts w:ascii="Times New Roman" w:hAnsi="Times New Roman" w:cs="Times New Roman"/>
          <w:i/>
          <w:sz w:val="24"/>
          <w:szCs w:val="24"/>
        </w:rPr>
        <w:t>ab</w:t>
      </w:r>
      <w:proofErr w:type="spellEnd"/>
      <w:r w:rsidR="00541A81" w:rsidRPr="002F5B49">
        <w:rPr>
          <w:rFonts w:ascii="Times New Roman" w:hAnsi="Times New Roman" w:cs="Times New Roman"/>
          <w:i/>
          <w:sz w:val="24"/>
          <w:szCs w:val="24"/>
        </w:rPr>
        <w:t xml:space="preserve"> initio</w:t>
      </w:r>
      <w:r w:rsidR="00541A81" w:rsidRPr="002D78EB">
        <w:rPr>
          <w:rFonts w:ascii="Times New Roman" w:hAnsi="Times New Roman" w:cs="Times New Roman"/>
          <w:sz w:val="24"/>
          <w:szCs w:val="24"/>
        </w:rPr>
        <w:t xml:space="preserve"> so that it cannot limit the quantum </w:t>
      </w:r>
      <w:proofErr w:type="spellStart"/>
      <w:r w:rsidR="00541A81" w:rsidRPr="002D78EB">
        <w:rPr>
          <w:rFonts w:ascii="Times New Roman" w:hAnsi="Times New Roman" w:cs="Times New Roman"/>
          <w:sz w:val="24"/>
          <w:szCs w:val="24"/>
        </w:rPr>
        <w:t>meruit</w:t>
      </w:r>
      <w:proofErr w:type="spellEnd"/>
      <w:r w:rsidR="00541A81">
        <w:rPr>
          <w:rFonts w:ascii="Times New Roman" w:hAnsi="Times New Roman" w:cs="Times New Roman"/>
          <w:sz w:val="24"/>
          <w:szCs w:val="24"/>
        </w:rPr>
        <w:t>,</w:t>
      </w:r>
      <w:r w:rsidR="00541A81" w:rsidRPr="002D78EB">
        <w:rPr>
          <w:rStyle w:val="FootnoteReference"/>
          <w:rFonts w:ascii="Times New Roman" w:hAnsi="Times New Roman" w:cs="Times New Roman"/>
          <w:sz w:val="24"/>
          <w:szCs w:val="24"/>
        </w:rPr>
        <w:footnoteReference w:id="89"/>
      </w:r>
      <w:r w:rsidR="00541A81" w:rsidRPr="002D78EB">
        <w:rPr>
          <w:rFonts w:ascii="Times New Roman" w:hAnsi="Times New Roman" w:cs="Times New Roman"/>
          <w:sz w:val="24"/>
          <w:szCs w:val="24"/>
        </w:rPr>
        <w:t xml:space="preserve"> </w:t>
      </w:r>
      <w:r w:rsidR="00541A81">
        <w:rPr>
          <w:rFonts w:ascii="Times New Roman" w:hAnsi="Times New Roman" w:cs="Times New Roman"/>
          <w:color w:val="000000"/>
          <w:sz w:val="24"/>
          <w:szCs w:val="24"/>
        </w:rPr>
        <w:t>so</w:t>
      </w:r>
      <w:r>
        <w:rPr>
          <w:rFonts w:ascii="Times New Roman" w:hAnsi="Times New Roman" w:cs="Times New Roman"/>
          <w:color w:val="000000"/>
          <w:sz w:val="24"/>
          <w:szCs w:val="24"/>
        </w:rPr>
        <w:t xml:space="preserve"> that the contract should have no continuing influence on </w:t>
      </w:r>
      <w:r w:rsidRPr="002D78EB">
        <w:rPr>
          <w:rFonts w:ascii="Times New Roman" w:hAnsi="Times New Roman" w:cs="Times New Roman"/>
          <w:sz w:val="24"/>
          <w:szCs w:val="24"/>
        </w:rPr>
        <w:t xml:space="preserve">the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claim when assessing the value of the work provided, save </w:t>
      </w:r>
      <w:r w:rsidR="00541A81">
        <w:rPr>
          <w:rFonts w:ascii="Times New Roman" w:hAnsi="Times New Roman" w:cs="Times New Roman"/>
          <w:sz w:val="24"/>
          <w:szCs w:val="24"/>
        </w:rPr>
        <w:t xml:space="preserve">that it is </w:t>
      </w:r>
      <w:r w:rsidRPr="002D78EB">
        <w:rPr>
          <w:rFonts w:ascii="Times New Roman" w:hAnsi="Times New Roman" w:cs="Times New Roman"/>
          <w:sz w:val="24"/>
          <w:szCs w:val="24"/>
        </w:rPr>
        <w:t>evidence of the reasonable value of the benefit received</w:t>
      </w:r>
      <w:r w:rsidR="002F5B49">
        <w:rPr>
          <w:rFonts w:ascii="Times New Roman" w:hAnsi="Times New Roman" w:cs="Times New Roman"/>
          <w:sz w:val="24"/>
          <w:szCs w:val="24"/>
        </w:rPr>
        <w:t>,</w:t>
      </w:r>
      <w:r w:rsidRPr="002D78EB">
        <w:rPr>
          <w:rFonts w:ascii="Times New Roman" w:hAnsi="Times New Roman" w:cs="Times New Roman"/>
          <w:sz w:val="24"/>
          <w:szCs w:val="24"/>
        </w:rPr>
        <w:t xml:space="preserve"> but it is no</w:t>
      </w:r>
      <w:r w:rsidR="002F5B49">
        <w:rPr>
          <w:rFonts w:ascii="Times New Roman" w:hAnsi="Times New Roman" w:cs="Times New Roman"/>
          <w:sz w:val="24"/>
          <w:szCs w:val="24"/>
        </w:rPr>
        <w:t>t necessarily the best evidence</w:t>
      </w:r>
      <w:r w:rsidRPr="002D78EB">
        <w:rPr>
          <w:rFonts w:ascii="Times New Roman" w:hAnsi="Times New Roman" w:cs="Times New Roman"/>
          <w:sz w:val="24"/>
          <w:szCs w:val="24"/>
        </w:rPr>
        <w:t xml:space="preserve"> because th</w:t>
      </w:r>
      <w:r w:rsidR="002F5B49">
        <w:rPr>
          <w:rFonts w:ascii="Times New Roman" w:hAnsi="Times New Roman" w:cs="Times New Roman"/>
          <w:sz w:val="24"/>
          <w:szCs w:val="24"/>
        </w:rPr>
        <w:t>e price is struck prospectively</w:t>
      </w:r>
      <w:r w:rsidRPr="002D78EB">
        <w:rPr>
          <w:rFonts w:ascii="Times New Roman" w:hAnsi="Times New Roman" w:cs="Times New Roman"/>
          <w:sz w:val="24"/>
          <w:szCs w:val="24"/>
        </w:rPr>
        <w:t xml:space="preserve"> based on the parties’ expectations of the future course of events, whereas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i/>
          <w:sz w:val="24"/>
          <w:szCs w:val="24"/>
        </w:rPr>
        <w:t xml:space="preserve"> </w:t>
      </w:r>
      <w:r w:rsidRPr="002D78EB">
        <w:rPr>
          <w:rFonts w:ascii="Times New Roman" w:hAnsi="Times New Roman" w:cs="Times New Roman"/>
          <w:sz w:val="24"/>
          <w:szCs w:val="24"/>
        </w:rPr>
        <w:t>is assessed in hindsight on the basis of the events which had happened. Subsequent events might be radically different from what had been anticipated at the time of the negotiations.</w:t>
      </w:r>
    </w:p>
    <w:p w:rsidR="00AB6352" w:rsidRPr="00541A81" w:rsidRDefault="00541A81" w:rsidP="003B2B45">
      <w:pPr>
        <w:spacing w:after="0"/>
        <w:rPr>
          <w:rFonts w:ascii="Times New Roman" w:hAnsi="Times New Roman" w:cs="Times New Roman"/>
          <w:i/>
          <w:sz w:val="24"/>
          <w:szCs w:val="24"/>
        </w:rPr>
      </w:pPr>
      <w:r>
        <w:rPr>
          <w:rFonts w:ascii="Times New Roman" w:hAnsi="Times New Roman" w:cs="Times New Roman"/>
          <w:i/>
          <w:sz w:val="24"/>
          <w:szCs w:val="24"/>
        </w:rPr>
        <w:t>(ii) Remunerating</w:t>
      </w:r>
      <w:r w:rsidR="00765B13">
        <w:rPr>
          <w:rFonts w:ascii="Times New Roman" w:hAnsi="Times New Roman" w:cs="Times New Roman"/>
          <w:i/>
          <w:sz w:val="24"/>
          <w:szCs w:val="24"/>
        </w:rPr>
        <w:t xml:space="preserve"> </w:t>
      </w:r>
      <w:r w:rsidR="00E53AE4">
        <w:rPr>
          <w:rFonts w:ascii="Times New Roman" w:hAnsi="Times New Roman" w:cs="Times New Roman"/>
          <w:i/>
          <w:sz w:val="24"/>
          <w:szCs w:val="24"/>
        </w:rPr>
        <w:t xml:space="preserve">and rewarding </w:t>
      </w:r>
      <w:r w:rsidR="00765B13">
        <w:rPr>
          <w:rFonts w:ascii="Times New Roman" w:hAnsi="Times New Roman" w:cs="Times New Roman"/>
          <w:i/>
          <w:sz w:val="24"/>
          <w:szCs w:val="24"/>
        </w:rPr>
        <w:t>the</w:t>
      </w:r>
      <w:r>
        <w:rPr>
          <w:rFonts w:ascii="Times New Roman" w:hAnsi="Times New Roman" w:cs="Times New Roman"/>
          <w:i/>
          <w:sz w:val="24"/>
          <w:szCs w:val="24"/>
        </w:rPr>
        <w:t xml:space="preserve"> claimant</w:t>
      </w:r>
    </w:p>
    <w:p w:rsidR="003B2B45" w:rsidRDefault="003B2B45" w:rsidP="003B2B45">
      <w:pPr>
        <w:rPr>
          <w:rFonts w:ascii="Times New Roman" w:hAnsi="Times New Roman" w:cs="Times New Roman"/>
          <w:sz w:val="24"/>
          <w:szCs w:val="24"/>
        </w:rPr>
      </w:pPr>
    </w:p>
    <w:p w:rsidR="00E53AE4" w:rsidRPr="002D78EB" w:rsidRDefault="00E53AE4" w:rsidP="003B2B45">
      <w:pPr>
        <w:rPr>
          <w:rFonts w:ascii="Times New Roman" w:hAnsi="Times New Roman" w:cs="Times New Roman"/>
          <w:sz w:val="24"/>
          <w:szCs w:val="24"/>
        </w:rPr>
      </w:pPr>
      <w:r w:rsidRPr="002D78EB">
        <w:rPr>
          <w:rFonts w:ascii="Times New Roman" w:hAnsi="Times New Roman" w:cs="Times New Roman"/>
          <w:sz w:val="24"/>
          <w:szCs w:val="24"/>
        </w:rPr>
        <w:t xml:space="preserve">Cases do sometimes use compensatory language when describing the </w:t>
      </w:r>
      <w:r>
        <w:rPr>
          <w:rFonts w:ascii="Times New Roman" w:hAnsi="Times New Roman" w:cs="Times New Roman"/>
          <w:sz w:val="24"/>
          <w:szCs w:val="24"/>
        </w:rPr>
        <w:t xml:space="preserve">nature of the </w:t>
      </w:r>
      <w:r>
        <w:rPr>
          <w:rFonts w:ascii="Times New Roman" w:hAnsi="Times New Roman" w:cs="Times New Roman"/>
          <w:i/>
          <w:sz w:val="24"/>
          <w:szCs w:val="24"/>
        </w:rPr>
        <w:t xml:space="preserve">quantum </w:t>
      </w:r>
      <w:proofErr w:type="spellStart"/>
      <w:r>
        <w:rPr>
          <w:rFonts w:ascii="Times New Roman" w:hAnsi="Times New Roman" w:cs="Times New Roman"/>
          <w:i/>
          <w:sz w:val="24"/>
          <w:szCs w:val="24"/>
        </w:rPr>
        <w:t>meruit</w:t>
      </w:r>
      <w:proofErr w:type="spellEnd"/>
      <w:r>
        <w:rPr>
          <w:rFonts w:ascii="Times New Roman" w:hAnsi="Times New Roman" w:cs="Times New Roman"/>
          <w:i/>
          <w:sz w:val="24"/>
          <w:szCs w:val="24"/>
        </w:rPr>
        <w:t xml:space="preserve"> </w:t>
      </w:r>
      <w:r w:rsidRPr="002D78EB">
        <w:rPr>
          <w:rFonts w:ascii="Times New Roman" w:hAnsi="Times New Roman" w:cs="Times New Roman"/>
          <w:sz w:val="24"/>
          <w:szCs w:val="24"/>
        </w:rPr>
        <w:t>remedy, such as the language of remuneration and reward for the service.</w:t>
      </w:r>
      <w:r w:rsidRPr="002D78EB">
        <w:rPr>
          <w:rStyle w:val="FootnoteReference"/>
          <w:rFonts w:ascii="Times New Roman" w:hAnsi="Times New Roman" w:cs="Times New Roman"/>
          <w:sz w:val="24"/>
          <w:szCs w:val="24"/>
        </w:rPr>
        <w:footnoteReference w:id="90"/>
      </w:r>
      <w:r w:rsidRPr="002D78EB">
        <w:rPr>
          <w:rFonts w:ascii="Times New Roman" w:hAnsi="Times New Roman" w:cs="Times New Roman"/>
          <w:sz w:val="24"/>
          <w:szCs w:val="24"/>
        </w:rPr>
        <w:t xml:space="preserve"> The key problem in valuing the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i/>
          <w:sz w:val="24"/>
          <w:szCs w:val="24"/>
        </w:rPr>
        <w:t xml:space="preserve"> </w:t>
      </w:r>
      <w:r w:rsidRPr="002D78EB">
        <w:rPr>
          <w:rFonts w:ascii="Times New Roman" w:hAnsi="Times New Roman" w:cs="Times New Roman"/>
          <w:sz w:val="24"/>
          <w:szCs w:val="24"/>
        </w:rPr>
        <w:t xml:space="preserve">was identified by Nicholas Strauss QC in </w:t>
      </w:r>
      <w:r w:rsidRPr="002D78EB">
        <w:rPr>
          <w:rFonts w:ascii="Times New Roman" w:hAnsi="Times New Roman" w:cs="Times New Roman"/>
          <w:i/>
          <w:sz w:val="24"/>
          <w:szCs w:val="24"/>
        </w:rPr>
        <w:t>Countrywide Communications Ltd v ICL Pathway Ltd</w:t>
      </w:r>
      <w:r>
        <w:rPr>
          <w:rFonts w:ascii="Times New Roman" w:hAnsi="Times New Roman" w:cs="Times New Roman"/>
          <w:i/>
          <w:sz w:val="24"/>
          <w:szCs w:val="24"/>
        </w:rPr>
        <w:t>,</w:t>
      </w:r>
      <w:r w:rsidRPr="002D78EB">
        <w:rPr>
          <w:rStyle w:val="FootnoteReference"/>
          <w:rFonts w:ascii="Times New Roman" w:hAnsi="Times New Roman" w:cs="Times New Roman"/>
          <w:sz w:val="24"/>
          <w:szCs w:val="24"/>
        </w:rPr>
        <w:footnoteReference w:id="91"/>
      </w:r>
      <w:r w:rsidRPr="002D78EB">
        <w:rPr>
          <w:rFonts w:ascii="Times New Roman" w:hAnsi="Times New Roman" w:cs="Times New Roman"/>
          <w:sz w:val="24"/>
          <w:szCs w:val="24"/>
        </w:rPr>
        <w:t xml:space="preserve"> who said:</w:t>
      </w:r>
    </w:p>
    <w:p w:rsidR="00E53AE4" w:rsidRDefault="00E53AE4" w:rsidP="00E53AE4">
      <w:pPr>
        <w:ind w:left="720"/>
        <w:rPr>
          <w:rFonts w:ascii="Times New Roman" w:hAnsi="Times New Roman" w:cs="Times New Roman"/>
          <w:sz w:val="24"/>
          <w:szCs w:val="24"/>
        </w:rPr>
      </w:pPr>
      <w:r w:rsidRPr="002D78EB">
        <w:rPr>
          <w:rFonts w:ascii="Times New Roman" w:hAnsi="Times New Roman" w:cs="Times New Roman"/>
          <w:sz w:val="24"/>
          <w:szCs w:val="24"/>
        </w:rPr>
        <w:t>Much of the difficulty is caused by attempting to categorise as an unjust enrichment of the defendant, for which an action in restitution is available, what is really a loss unfairly sustained by the plaintiff. There is a lot to be said for a broad principle enabling either to be recompensed, but no such principle is clearly established in English Law. Undoubtedly the court may impose an obligation to pay for benefits resulting from services performed in the course of a contract which is expected to, but does not, come into existence….Undoubtedly, such an obligation will be imposed only if justice requires it or, which comes to much the same thing, it would be unconscionable for the plaintiff not to be recompensed.</w:t>
      </w:r>
    </w:p>
    <w:p w:rsidR="00AB6352" w:rsidRDefault="00E53AE4" w:rsidP="00E53AE4">
      <w:pPr>
        <w:pStyle w:val="h8f"/>
        <w:spacing w:before="221" w:line="276" w:lineRule="auto"/>
        <w:rPr>
          <w:rFonts w:ascii="Times New Roman" w:hAnsi="Times New Roman" w:cs="Times New Roman"/>
        </w:rPr>
      </w:pPr>
      <w:r>
        <w:rPr>
          <w:rFonts w:ascii="Times New Roman" w:hAnsi="Times New Roman" w:cs="Times New Roman"/>
        </w:rPr>
        <w:tab/>
        <w:t xml:space="preserve">The courts have provided some clarification as regards how the </w:t>
      </w:r>
      <w:r>
        <w:rPr>
          <w:rFonts w:ascii="Times New Roman" w:hAnsi="Times New Roman" w:cs="Times New Roman"/>
          <w:i/>
        </w:rPr>
        <w:t xml:space="preserve">quantum </w:t>
      </w:r>
      <w:proofErr w:type="spellStart"/>
      <w:r>
        <w:rPr>
          <w:rFonts w:ascii="Times New Roman" w:hAnsi="Times New Roman" w:cs="Times New Roman"/>
          <w:i/>
        </w:rPr>
        <w:t>meruit</w:t>
      </w:r>
      <w:proofErr w:type="spellEnd"/>
      <w:r>
        <w:rPr>
          <w:rFonts w:ascii="Times New Roman" w:hAnsi="Times New Roman" w:cs="Times New Roman"/>
        </w:rPr>
        <w:t xml:space="preserve"> should be assessed. </w:t>
      </w:r>
      <w:r w:rsidR="00AB6352" w:rsidRPr="002D78EB">
        <w:rPr>
          <w:rFonts w:ascii="Times New Roman" w:hAnsi="Times New Roman" w:cs="Times New Roman"/>
        </w:rPr>
        <w:t xml:space="preserve">In </w:t>
      </w:r>
      <w:r w:rsidR="00AB6352" w:rsidRPr="002D78EB">
        <w:rPr>
          <w:rFonts w:ascii="Times New Roman" w:hAnsi="Times New Roman" w:cs="Times New Roman"/>
          <w:i/>
        </w:rPr>
        <w:t>MSM Consulting Ltd v United Republic of Tanzania</w:t>
      </w:r>
      <w:r w:rsidR="00765B13">
        <w:rPr>
          <w:rStyle w:val="FootnoteReference"/>
          <w:rFonts w:ascii="Times New Roman" w:hAnsi="Times New Roman" w:cs="Times New Roman"/>
        </w:rPr>
        <w:footnoteReference w:id="92"/>
      </w:r>
      <w:r w:rsidR="00765B13">
        <w:rPr>
          <w:rFonts w:ascii="Times New Roman" w:hAnsi="Times New Roman" w:cs="Times New Roman"/>
          <w:i/>
        </w:rPr>
        <w:t xml:space="preserve"> </w:t>
      </w:r>
      <w:r w:rsidR="00AB6352" w:rsidRPr="002D78EB">
        <w:rPr>
          <w:rFonts w:ascii="Times New Roman" w:hAnsi="Times New Roman" w:cs="Times New Roman"/>
        </w:rPr>
        <w:t>Christopher</w:t>
      </w:r>
      <w:r>
        <w:rPr>
          <w:rFonts w:ascii="Times New Roman" w:hAnsi="Times New Roman" w:cs="Times New Roman"/>
        </w:rPr>
        <w:t xml:space="preserve"> Clarke J,</w:t>
      </w:r>
      <w:r w:rsidR="00765B13">
        <w:rPr>
          <w:rFonts w:ascii="Times New Roman" w:hAnsi="Times New Roman" w:cs="Times New Roman"/>
        </w:rPr>
        <w:t xml:space="preserve"> </w:t>
      </w:r>
      <w:r>
        <w:rPr>
          <w:rFonts w:ascii="Times New Roman" w:hAnsi="Times New Roman" w:cs="Times New Roman"/>
        </w:rPr>
        <w:t xml:space="preserve">in a case involving a </w:t>
      </w:r>
      <w:r>
        <w:rPr>
          <w:rFonts w:ascii="Times New Roman" w:hAnsi="Times New Roman" w:cs="Times New Roman"/>
          <w:i/>
        </w:rPr>
        <w:t>quantum</w:t>
      </w:r>
      <w:r>
        <w:rPr>
          <w:rFonts w:ascii="Times New Roman" w:hAnsi="Times New Roman" w:cs="Times New Roman"/>
        </w:rPr>
        <w:t xml:space="preserve"> </w:t>
      </w:r>
      <w:proofErr w:type="spellStart"/>
      <w:r w:rsidR="00AB6352" w:rsidRPr="002D78EB">
        <w:rPr>
          <w:rFonts w:ascii="Times New Roman" w:hAnsi="Times New Roman" w:cs="Times New Roman"/>
          <w:i/>
        </w:rPr>
        <w:t>meruit</w:t>
      </w:r>
      <w:proofErr w:type="spellEnd"/>
      <w:r>
        <w:rPr>
          <w:rFonts w:ascii="Times New Roman" w:hAnsi="Times New Roman" w:cs="Times New Roman"/>
        </w:rPr>
        <w:t xml:space="preserve"> claim</w:t>
      </w:r>
      <w:r w:rsidR="00AB6352" w:rsidRPr="002D78EB">
        <w:rPr>
          <w:rFonts w:ascii="Times New Roman" w:hAnsi="Times New Roman" w:cs="Times New Roman"/>
        </w:rPr>
        <w:t xml:space="preserve"> arising from work done in anticipation of a contract whic</w:t>
      </w:r>
      <w:r>
        <w:rPr>
          <w:rFonts w:ascii="Times New Roman" w:hAnsi="Times New Roman" w:cs="Times New Roman"/>
        </w:rPr>
        <w:t>h did not materialise, recognised</w:t>
      </w:r>
      <w:r w:rsidR="00AB6352" w:rsidRPr="002D78EB">
        <w:rPr>
          <w:rFonts w:ascii="Times New Roman" w:hAnsi="Times New Roman" w:cs="Times New Roman"/>
        </w:rPr>
        <w:t xml:space="preserve"> that it is not possible </w:t>
      </w:r>
      <w:r>
        <w:rPr>
          <w:rFonts w:ascii="Times New Roman" w:hAnsi="Times New Roman" w:cs="Times New Roman"/>
        </w:rPr>
        <w:t xml:space="preserve">for the claimant </w:t>
      </w:r>
      <w:r w:rsidR="00AB6352" w:rsidRPr="002D78EB">
        <w:rPr>
          <w:rFonts w:ascii="Times New Roman" w:hAnsi="Times New Roman" w:cs="Times New Roman"/>
        </w:rPr>
        <w:t>to claim for the cost of bidding for the contract</w:t>
      </w:r>
      <w:r w:rsidR="00765B13">
        <w:rPr>
          <w:rFonts w:ascii="Times New Roman" w:hAnsi="Times New Roman" w:cs="Times New Roman"/>
        </w:rPr>
        <w:t xml:space="preserve"> or for a ‘beauty parade’</w:t>
      </w:r>
      <w:r>
        <w:rPr>
          <w:rFonts w:ascii="Times New Roman" w:hAnsi="Times New Roman" w:cs="Times New Roman"/>
        </w:rPr>
        <w:t xml:space="preserve">. </w:t>
      </w:r>
      <w:r w:rsidR="00765B13">
        <w:rPr>
          <w:rFonts w:ascii="Times New Roman" w:hAnsi="Times New Roman" w:cs="Times New Roman"/>
        </w:rPr>
        <w:t xml:space="preserve">Further, on the facts, the claim for </w:t>
      </w:r>
      <w:r w:rsidR="00AB6352" w:rsidRPr="002D78EB">
        <w:rPr>
          <w:rFonts w:ascii="Times New Roman" w:hAnsi="Times New Roman" w:cs="Times New Roman"/>
        </w:rPr>
        <w:t>£250 per h</w:t>
      </w:r>
      <w:r w:rsidR="00765B13">
        <w:rPr>
          <w:rFonts w:ascii="Times New Roman" w:hAnsi="Times New Roman" w:cs="Times New Roman"/>
        </w:rPr>
        <w:t>our for assessment and research was considered to be</w:t>
      </w:r>
      <w:r w:rsidR="00AB6352" w:rsidRPr="002D78EB">
        <w:rPr>
          <w:rFonts w:ascii="Times New Roman" w:hAnsi="Times New Roman" w:cs="Times New Roman"/>
        </w:rPr>
        <w:t xml:space="preserve"> too much</w:t>
      </w:r>
      <w:r w:rsidR="00765B13">
        <w:rPr>
          <w:rFonts w:ascii="Times New Roman" w:hAnsi="Times New Roman" w:cs="Times New Roman"/>
        </w:rPr>
        <w:t>,</w:t>
      </w:r>
      <w:r w:rsidR="00AB6352" w:rsidRPr="002D78EB">
        <w:rPr>
          <w:rFonts w:ascii="Times New Roman" w:hAnsi="Times New Roman" w:cs="Times New Roman"/>
        </w:rPr>
        <w:t xml:space="preserve"> since the claimant had no surveying or valuation qualifications. £125 </w:t>
      </w:r>
      <w:r w:rsidR="00765B13">
        <w:rPr>
          <w:rFonts w:ascii="Times New Roman" w:hAnsi="Times New Roman" w:cs="Times New Roman"/>
        </w:rPr>
        <w:t xml:space="preserve">per hour </w:t>
      </w:r>
      <w:r w:rsidR="00AB6352" w:rsidRPr="002D78EB">
        <w:rPr>
          <w:rFonts w:ascii="Times New Roman" w:hAnsi="Times New Roman" w:cs="Times New Roman"/>
        </w:rPr>
        <w:t xml:space="preserve">was </w:t>
      </w:r>
      <w:r w:rsidR="00765B13">
        <w:rPr>
          <w:rFonts w:ascii="Times New Roman" w:hAnsi="Times New Roman" w:cs="Times New Roman"/>
        </w:rPr>
        <w:t xml:space="preserve">considered to be </w:t>
      </w:r>
      <w:r w:rsidR="00AB6352" w:rsidRPr="002D78EB">
        <w:rPr>
          <w:rFonts w:ascii="Times New Roman" w:hAnsi="Times New Roman" w:cs="Times New Roman"/>
        </w:rPr>
        <w:t xml:space="preserve">a more appropriate rate </w:t>
      </w:r>
      <w:r w:rsidR="00765B13">
        <w:rPr>
          <w:rFonts w:ascii="Times New Roman" w:hAnsi="Times New Roman" w:cs="Times New Roman"/>
        </w:rPr>
        <w:t>of payment for the</w:t>
      </w:r>
      <w:r w:rsidR="00AB6352" w:rsidRPr="002D78EB">
        <w:rPr>
          <w:rFonts w:ascii="Times New Roman" w:hAnsi="Times New Roman" w:cs="Times New Roman"/>
        </w:rPr>
        <w:t xml:space="preserve"> claimant</w:t>
      </w:r>
      <w:r w:rsidR="00765B13">
        <w:rPr>
          <w:rFonts w:ascii="Times New Roman" w:hAnsi="Times New Roman" w:cs="Times New Roman"/>
        </w:rPr>
        <w:t>’s services</w:t>
      </w:r>
      <w:r w:rsidR="00AB6352" w:rsidRPr="002D78EB">
        <w:rPr>
          <w:rFonts w:ascii="Times New Roman" w:hAnsi="Times New Roman" w:cs="Times New Roman"/>
        </w:rPr>
        <w:t>.</w:t>
      </w:r>
    </w:p>
    <w:p w:rsidR="00E53AE4" w:rsidRDefault="00E53AE4" w:rsidP="00E53AE4">
      <w:pPr>
        <w:pStyle w:val="h8f"/>
        <w:spacing w:before="221" w:line="276" w:lineRule="auto"/>
        <w:rPr>
          <w:rFonts w:ascii="Times New Roman" w:hAnsi="Times New Roman" w:cs="Times New Roman"/>
        </w:rPr>
      </w:pPr>
    </w:p>
    <w:p w:rsidR="00E53AE4" w:rsidRDefault="00765B13" w:rsidP="00765B13">
      <w:pPr>
        <w:ind w:firstLine="720"/>
        <w:rPr>
          <w:rFonts w:ascii="Times New Roman" w:hAnsi="Times New Roman" w:cs="Times New Roman"/>
          <w:sz w:val="24"/>
          <w:szCs w:val="24"/>
        </w:rPr>
      </w:pPr>
      <w:r>
        <w:rPr>
          <w:rFonts w:ascii="Times New Roman" w:hAnsi="Times New Roman" w:cs="Times New Roman"/>
          <w:sz w:val="24"/>
          <w:szCs w:val="24"/>
        </w:rPr>
        <w:t xml:space="preserve">Further guidance on the nature of the remedy was identified in </w:t>
      </w:r>
      <w:proofErr w:type="spellStart"/>
      <w:r w:rsidRPr="002D78EB">
        <w:rPr>
          <w:rFonts w:ascii="Times New Roman" w:hAnsi="Times New Roman" w:cs="Times New Roman"/>
          <w:i/>
          <w:sz w:val="24"/>
          <w:szCs w:val="24"/>
        </w:rPr>
        <w:t>Sopov</w:t>
      </w:r>
      <w:proofErr w:type="spellEnd"/>
      <w:r w:rsidRPr="002D78EB">
        <w:rPr>
          <w:rFonts w:ascii="Times New Roman" w:hAnsi="Times New Roman" w:cs="Times New Roman"/>
          <w:i/>
          <w:sz w:val="24"/>
          <w:szCs w:val="24"/>
        </w:rPr>
        <w:t xml:space="preserve"> v Kane Constructions Pty Ltd (No 2)</w:t>
      </w:r>
      <w:r w:rsidRPr="002D78EB">
        <w:rPr>
          <w:rStyle w:val="FootnoteReference"/>
          <w:rFonts w:ascii="Times New Roman" w:hAnsi="Times New Roman" w:cs="Times New Roman"/>
          <w:sz w:val="24"/>
          <w:szCs w:val="24"/>
        </w:rPr>
        <w:footnoteReference w:id="93"/>
      </w:r>
      <w:r>
        <w:rPr>
          <w:rFonts w:ascii="Times New Roman" w:hAnsi="Times New Roman" w:cs="Times New Roman"/>
          <w:i/>
          <w:sz w:val="24"/>
          <w:szCs w:val="24"/>
        </w:rPr>
        <w:t xml:space="preserve"> </w:t>
      </w:r>
      <w:r>
        <w:rPr>
          <w:rFonts w:ascii="Times New Roman" w:hAnsi="Times New Roman" w:cs="Times New Roman"/>
          <w:sz w:val="24"/>
          <w:szCs w:val="24"/>
        </w:rPr>
        <w:t>where it was recognised that the essential test was to determine the fair and reasonable value of th</w:t>
      </w:r>
      <w:r w:rsidR="00E53AE4">
        <w:rPr>
          <w:rFonts w:ascii="Times New Roman" w:hAnsi="Times New Roman" w:cs="Times New Roman"/>
          <w:sz w:val="24"/>
          <w:szCs w:val="24"/>
        </w:rPr>
        <w:t>e claimant’s services. I</w:t>
      </w:r>
      <w:r>
        <w:rPr>
          <w:rFonts w:ascii="Times New Roman" w:hAnsi="Times New Roman" w:cs="Times New Roman"/>
          <w:sz w:val="24"/>
          <w:szCs w:val="24"/>
        </w:rPr>
        <w:t xml:space="preserve">t was emphasised that the </w:t>
      </w:r>
      <w:r w:rsidR="00AB6352" w:rsidRPr="002D78EB">
        <w:rPr>
          <w:rFonts w:ascii="Times New Roman" w:hAnsi="Times New Roman" w:cs="Times New Roman"/>
          <w:sz w:val="24"/>
          <w:szCs w:val="24"/>
        </w:rPr>
        <w:t xml:space="preserve">measure of the </w:t>
      </w:r>
      <w:proofErr w:type="spellStart"/>
      <w:r w:rsidR="00AB6352" w:rsidRPr="002D78EB">
        <w:rPr>
          <w:rFonts w:ascii="Times New Roman" w:hAnsi="Times New Roman" w:cs="Times New Roman"/>
          <w:sz w:val="24"/>
          <w:szCs w:val="24"/>
        </w:rPr>
        <w:t>restitutionary</w:t>
      </w:r>
      <w:proofErr w:type="spellEnd"/>
      <w:r w:rsidR="00AB6352" w:rsidRPr="002D78EB">
        <w:rPr>
          <w:rFonts w:ascii="Times New Roman" w:hAnsi="Times New Roman" w:cs="Times New Roman"/>
          <w:sz w:val="24"/>
          <w:szCs w:val="24"/>
        </w:rPr>
        <w:t xml:space="preserve"> remed</w:t>
      </w:r>
      <w:r w:rsidR="00AB6352">
        <w:rPr>
          <w:rFonts w:ascii="Times New Roman" w:hAnsi="Times New Roman" w:cs="Times New Roman"/>
          <w:sz w:val="24"/>
          <w:szCs w:val="24"/>
        </w:rPr>
        <w:t>y is the value of the benefit co</w:t>
      </w:r>
      <w:r w:rsidR="00AB6352" w:rsidRPr="002D78EB">
        <w:rPr>
          <w:rFonts w:ascii="Times New Roman" w:hAnsi="Times New Roman" w:cs="Times New Roman"/>
          <w:sz w:val="24"/>
          <w:szCs w:val="24"/>
        </w:rPr>
        <w:t>nferred on the defendant</w:t>
      </w:r>
      <w:r>
        <w:rPr>
          <w:rFonts w:ascii="Times New Roman" w:hAnsi="Times New Roman" w:cs="Times New Roman"/>
          <w:sz w:val="24"/>
          <w:szCs w:val="24"/>
        </w:rPr>
        <w:t xml:space="preserve">, </w:t>
      </w:r>
      <w:r w:rsidR="00E53AE4">
        <w:rPr>
          <w:rFonts w:ascii="Times New Roman" w:hAnsi="Times New Roman" w:cs="Times New Roman"/>
          <w:sz w:val="24"/>
          <w:szCs w:val="24"/>
        </w:rPr>
        <w:t xml:space="preserve">but this </w:t>
      </w:r>
      <w:r>
        <w:rPr>
          <w:rFonts w:ascii="Times New Roman" w:hAnsi="Times New Roman" w:cs="Times New Roman"/>
          <w:sz w:val="24"/>
          <w:szCs w:val="24"/>
        </w:rPr>
        <w:t>can be proved by evidence of the costs which had actually been incurred.</w:t>
      </w:r>
      <w:r w:rsidR="00AB6352" w:rsidRPr="002D78EB">
        <w:rPr>
          <w:rFonts w:ascii="Times New Roman" w:hAnsi="Times New Roman" w:cs="Times New Roman"/>
          <w:sz w:val="24"/>
          <w:szCs w:val="24"/>
        </w:rPr>
        <w:t xml:space="preserve"> Further, a profit margin could be included as part of the </w:t>
      </w:r>
      <w:r w:rsidR="00AB6352" w:rsidRPr="002D78EB">
        <w:rPr>
          <w:rFonts w:ascii="Times New Roman" w:hAnsi="Times New Roman" w:cs="Times New Roman"/>
          <w:i/>
          <w:sz w:val="24"/>
          <w:szCs w:val="24"/>
        </w:rPr>
        <w:t xml:space="preserve">quantum </w:t>
      </w:r>
      <w:proofErr w:type="spellStart"/>
      <w:r w:rsidR="00AB6352" w:rsidRPr="002D78EB">
        <w:rPr>
          <w:rFonts w:ascii="Times New Roman" w:hAnsi="Times New Roman" w:cs="Times New Roman"/>
          <w:i/>
          <w:sz w:val="24"/>
          <w:szCs w:val="24"/>
        </w:rPr>
        <w:t>meruit</w:t>
      </w:r>
      <w:proofErr w:type="spellEnd"/>
      <w:r w:rsidR="00AB6352" w:rsidRPr="002D78EB">
        <w:rPr>
          <w:rFonts w:ascii="Times New Roman" w:hAnsi="Times New Roman" w:cs="Times New Roman"/>
          <w:sz w:val="24"/>
          <w:szCs w:val="24"/>
        </w:rPr>
        <w:t xml:space="preserve">, since this was consistent with the </w:t>
      </w:r>
      <w:proofErr w:type="spellStart"/>
      <w:r w:rsidR="00AB6352" w:rsidRPr="002D78EB">
        <w:rPr>
          <w:rFonts w:ascii="Times New Roman" w:hAnsi="Times New Roman" w:cs="Times New Roman"/>
          <w:sz w:val="24"/>
          <w:szCs w:val="24"/>
        </w:rPr>
        <w:t>restitutionary</w:t>
      </w:r>
      <w:proofErr w:type="spellEnd"/>
      <w:r w:rsidR="00AB6352" w:rsidRPr="002D78EB">
        <w:rPr>
          <w:rFonts w:ascii="Times New Roman" w:hAnsi="Times New Roman" w:cs="Times New Roman"/>
          <w:sz w:val="24"/>
          <w:szCs w:val="24"/>
        </w:rPr>
        <w:t xml:space="preserve"> objective of measuring the value of the benefit conferred on the defendant</w:t>
      </w:r>
      <w:r>
        <w:rPr>
          <w:rFonts w:ascii="Times New Roman" w:hAnsi="Times New Roman" w:cs="Times New Roman"/>
          <w:sz w:val="24"/>
          <w:szCs w:val="24"/>
        </w:rPr>
        <w:t>.</w:t>
      </w:r>
      <w:r w:rsidR="00AB6352" w:rsidRPr="002D78EB">
        <w:rPr>
          <w:rStyle w:val="FootnoteReference"/>
          <w:rFonts w:ascii="Times New Roman" w:hAnsi="Times New Roman" w:cs="Times New Roman"/>
          <w:sz w:val="24"/>
          <w:szCs w:val="24"/>
        </w:rPr>
        <w:footnoteReference w:id="94"/>
      </w:r>
    </w:p>
    <w:p w:rsidR="00E53AE4" w:rsidRPr="00E53AE4" w:rsidRDefault="00E53AE4" w:rsidP="00E53AE4">
      <w:pPr>
        <w:rPr>
          <w:rFonts w:ascii="Times New Roman" w:hAnsi="Times New Roman" w:cs="Times New Roman"/>
          <w:i/>
          <w:sz w:val="24"/>
          <w:szCs w:val="24"/>
        </w:rPr>
      </w:pPr>
      <w:r>
        <w:rPr>
          <w:rFonts w:ascii="Times New Roman" w:hAnsi="Times New Roman" w:cs="Times New Roman"/>
          <w:i/>
          <w:sz w:val="24"/>
          <w:szCs w:val="24"/>
        </w:rPr>
        <w:t>(iii) Synthesis</w:t>
      </w:r>
    </w:p>
    <w:p w:rsidR="00572ABC" w:rsidRPr="00096747" w:rsidRDefault="00572ABC" w:rsidP="00572ABC">
      <w:pPr>
        <w:rPr>
          <w:rFonts w:ascii="Times New Roman" w:hAnsi="Times New Roman" w:cs="Times New Roman"/>
          <w:sz w:val="24"/>
          <w:szCs w:val="24"/>
        </w:rPr>
      </w:pPr>
      <w:r>
        <w:rPr>
          <w:rFonts w:ascii="Times New Roman" w:hAnsi="Times New Roman" w:cs="Times New Roman"/>
          <w:sz w:val="24"/>
          <w:szCs w:val="24"/>
        </w:rPr>
        <w:t xml:space="preserve">Whilst there is certainly evidence of the courts having regard to compensatory language when determining the amount of the </w:t>
      </w:r>
      <w:r>
        <w:rPr>
          <w:rFonts w:ascii="Times New Roman" w:hAnsi="Times New Roman" w:cs="Times New Roman"/>
          <w:i/>
          <w:sz w:val="24"/>
          <w:szCs w:val="24"/>
        </w:rPr>
        <w:t xml:space="preserve">quantum </w:t>
      </w:r>
      <w:proofErr w:type="spellStart"/>
      <w:r>
        <w:rPr>
          <w:rFonts w:ascii="Times New Roman" w:hAnsi="Times New Roman" w:cs="Times New Roman"/>
          <w:i/>
          <w:sz w:val="24"/>
          <w:szCs w:val="24"/>
        </w:rPr>
        <w:t>meruit</w:t>
      </w:r>
      <w:proofErr w:type="spellEnd"/>
      <w:r>
        <w:rPr>
          <w:rFonts w:ascii="Times New Roman" w:hAnsi="Times New Roman" w:cs="Times New Roman"/>
          <w:sz w:val="24"/>
          <w:szCs w:val="24"/>
        </w:rPr>
        <w:t xml:space="preserve"> award, this is inappropriate. The focus should be on the defendant’s gain, since </w:t>
      </w:r>
      <w:r>
        <w:rPr>
          <w:rFonts w:ascii="Times New Roman" w:hAnsi="Times New Roman" w:cs="Times New Roman"/>
          <w:i/>
          <w:sz w:val="24"/>
          <w:szCs w:val="24"/>
        </w:rPr>
        <w:t xml:space="preserve">quantum </w:t>
      </w:r>
      <w:proofErr w:type="spellStart"/>
      <w:r>
        <w:rPr>
          <w:rFonts w:ascii="Times New Roman" w:hAnsi="Times New Roman" w:cs="Times New Roman"/>
          <w:i/>
          <w:sz w:val="24"/>
          <w:szCs w:val="24"/>
        </w:rPr>
        <w:t>meruit</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restitutionary</w:t>
      </w:r>
      <w:proofErr w:type="spellEnd"/>
      <w:r>
        <w:rPr>
          <w:rFonts w:ascii="Times New Roman" w:hAnsi="Times New Roman" w:cs="Times New Roman"/>
          <w:sz w:val="24"/>
          <w:szCs w:val="24"/>
        </w:rPr>
        <w:t>, g</w:t>
      </w:r>
      <w:r w:rsidR="00E53AE4">
        <w:rPr>
          <w:rFonts w:ascii="Times New Roman" w:hAnsi="Times New Roman" w:cs="Times New Roman"/>
          <w:sz w:val="24"/>
          <w:szCs w:val="24"/>
        </w:rPr>
        <w:t>ain-based award. Of co</w:t>
      </w:r>
      <w:r>
        <w:rPr>
          <w:rFonts w:ascii="Times New Roman" w:hAnsi="Times New Roman" w:cs="Times New Roman"/>
          <w:sz w:val="24"/>
          <w:szCs w:val="24"/>
        </w:rPr>
        <w:t>u</w:t>
      </w:r>
      <w:r w:rsidR="00E53AE4">
        <w:rPr>
          <w:rFonts w:ascii="Times New Roman" w:hAnsi="Times New Roman" w:cs="Times New Roman"/>
          <w:sz w:val="24"/>
          <w:szCs w:val="24"/>
        </w:rPr>
        <w:t>r</w:t>
      </w:r>
      <w:r>
        <w:rPr>
          <w:rFonts w:ascii="Times New Roman" w:hAnsi="Times New Roman" w:cs="Times New Roman"/>
          <w:sz w:val="24"/>
          <w:szCs w:val="24"/>
        </w:rPr>
        <w:t xml:space="preserve">se, being </w:t>
      </w:r>
      <w:proofErr w:type="spellStart"/>
      <w:r>
        <w:rPr>
          <w:rFonts w:ascii="Times New Roman" w:hAnsi="Times New Roman" w:cs="Times New Roman"/>
          <w:sz w:val="24"/>
          <w:szCs w:val="24"/>
        </w:rPr>
        <w:t>restitutionary</w:t>
      </w:r>
      <w:proofErr w:type="spellEnd"/>
      <w:r>
        <w:rPr>
          <w:rFonts w:ascii="Times New Roman" w:hAnsi="Times New Roman" w:cs="Times New Roman"/>
          <w:sz w:val="24"/>
          <w:szCs w:val="24"/>
        </w:rPr>
        <w:t xml:space="preserve">, the effect of the remedy is to correct the injustice and to restore to the claimant what he or she had lost, but the claimant should not gain any more than this. In the light of the decision of the Supreme Court in </w:t>
      </w:r>
      <w:r>
        <w:rPr>
          <w:rFonts w:ascii="Times New Roman" w:hAnsi="Times New Roman" w:cs="Times New Roman"/>
          <w:i/>
          <w:sz w:val="24"/>
          <w:szCs w:val="24"/>
        </w:rPr>
        <w:t xml:space="preserve">Benedetti v </w:t>
      </w:r>
      <w:proofErr w:type="spellStart"/>
      <w:r>
        <w:rPr>
          <w:rFonts w:ascii="Times New Roman" w:hAnsi="Times New Roman" w:cs="Times New Roman"/>
          <w:i/>
          <w:sz w:val="24"/>
          <w:szCs w:val="24"/>
        </w:rPr>
        <w:t>Sawiris</w:t>
      </w:r>
      <w:proofErr w:type="spellEnd"/>
      <w:r>
        <w:rPr>
          <w:rFonts w:ascii="Times New Roman" w:hAnsi="Times New Roman" w:cs="Times New Roman"/>
          <w:sz w:val="24"/>
          <w:szCs w:val="24"/>
        </w:rPr>
        <w:t xml:space="preserve"> the core focus should be on the objective value of the enrichment received by the defendant. This will typically be the market value. That value might be assessed with reference to the value of the services provided by the claimant, if that is what the defendant would have had to pay to obtain an equivalent service. But the claimant should not be reimbursed beyond this amount. The contract price may provide evidence of this market value, but there should be no rule which requires the contract price to operate as a ceiling on the </w:t>
      </w:r>
      <w:proofErr w:type="spellStart"/>
      <w:r>
        <w:rPr>
          <w:rFonts w:ascii="Times New Roman" w:hAnsi="Times New Roman" w:cs="Times New Roman"/>
          <w:sz w:val="24"/>
          <w:szCs w:val="24"/>
        </w:rPr>
        <w:t>restitutionary</w:t>
      </w:r>
      <w:proofErr w:type="spellEnd"/>
      <w:r>
        <w:rPr>
          <w:rFonts w:ascii="Times New Roman" w:hAnsi="Times New Roman" w:cs="Times New Roman"/>
          <w:sz w:val="24"/>
          <w:szCs w:val="24"/>
        </w:rPr>
        <w:t xml:space="preserve"> award. The contract price should be treated as evidence of the reasonable value of the benefit received, but it is not necessarily the best evidence.</w:t>
      </w:r>
      <w:r w:rsidR="00096747">
        <w:rPr>
          <w:rFonts w:ascii="Times New Roman" w:hAnsi="Times New Roman" w:cs="Times New Roman"/>
          <w:sz w:val="24"/>
          <w:szCs w:val="24"/>
        </w:rPr>
        <w:t xml:space="preserve"> It is appropriate to include a profit margin as part of the </w:t>
      </w:r>
      <w:r w:rsidR="00096747">
        <w:rPr>
          <w:rFonts w:ascii="Times New Roman" w:hAnsi="Times New Roman" w:cs="Times New Roman"/>
          <w:i/>
          <w:sz w:val="24"/>
          <w:szCs w:val="24"/>
        </w:rPr>
        <w:t xml:space="preserve">quantum </w:t>
      </w:r>
      <w:proofErr w:type="spellStart"/>
      <w:r w:rsidR="00096747">
        <w:rPr>
          <w:rFonts w:ascii="Times New Roman" w:hAnsi="Times New Roman" w:cs="Times New Roman"/>
          <w:i/>
          <w:sz w:val="24"/>
          <w:szCs w:val="24"/>
        </w:rPr>
        <w:t>meruit</w:t>
      </w:r>
      <w:proofErr w:type="spellEnd"/>
      <w:r w:rsidR="00096747">
        <w:rPr>
          <w:rFonts w:ascii="Times New Roman" w:hAnsi="Times New Roman" w:cs="Times New Roman"/>
          <w:sz w:val="24"/>
          <w:szCs w:val="24"/>
        </w:rPr>
        <w:t xml:space="preserve">, but only because this is consistent with the </w:t>
      </w:r>
      <w:proofErr w:type="spellStart"/>
      <w:r w:rsidR="00096747">
        <w:rPr>
          <w:rFonts w:ascii="Times New Roman" w:hAnsi="Times New Roman" w:cs="Times New Roman"/>
          <w:sz w:val="24"/>
          <w:szCs w:val="24"/>
        </w:rPr>
        <w:t>restitutionary</w:t>
      </w:r>
      <w:proofErr w:type="spellEnd"/>
      <w:r w:rsidR="00096747">
        <w:rPr>
          <w:rFonts w:ascii="Times New Roman" w:hAnsi="Times New Roman" w:cs="Times New Roman"/>
          <w:sz w:val="24"/>
          <w:szCs w:val="24"/>
        </w:rPr>
        <w:t xml:space="preserve"> objective of measuring the value of the benefit conferred on the defendant.</w:t>
      </w:r>
    </w:p>
    <w:p w:rsidR="00AB6352" w:rsidRPr="00884015" w:rsidRDefault="00884015" w:rsidP="00AB635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The confusion about the method of assessing the </w:t>
      </w:r>
      <w:r>
        <w:rPr>
          <w:rFonts w:ascii="Times New Roman" w:hAnsi="Times New Roman" w:cs="Times New Roman"/>
          <w:i/>
          <w:sz w:val="24"/>
          <w:szCs w:val="24"/>
        </w:rPr>
        <w:t>quantum</w:t>
      </w:r>
      <w:r>
        <w:rPr>
          <w:rFonts w:ascii="Times New Roman" w:hAnsi="Times New Roman" w:cs="Times New Roman"/>
          <w:sz w:val="24"/>
          <w:szCs w:val="24"/>
        </w:rPr>
        <w:t xml:space="preserve"> </w:t>
      </w:r>
      <w:proofErr w:type="spellStart"/>
      <w:r>
        <w:rPr>
          <w:rFonts w:ascii="Times New Roman" w:hAnsi="Times New Roman" w:cs="Times New Roman"/>
          <w:i/>
          <w:sz w:val="24"/>
          <w:szCs w:val="24"/>
        </w:rPr>
        <w:t>meruit</w:t>
      </w:r>
      <w:proofErr w:type="spellEnd"/>
      <w:r>
        <w:rPr>
          <w:rFonts w:ascii="Times New Roman" w:hAnsi="Times New Roman" w:cs="Times New Roman"/>
          <w:sz w:val="24"/>
          <w:szCs w:val="24"/>
        </w:rPr>
        <w:t xml:space="preserve"> is reflected in </w:t>
      </w:r>
    </w:p>
    <w:p w:rsidR="00200630" w:rsidRPr="00E53AE4" w:rsidRDefault="00200630" w:rsidP="0066378C">
      <w:pPr>
        <w:rPr>
          <w:rFonts w:ascii="Times New Roman" w:hAnsi="Times New Roman" w:cs="Times New Roman"/>
          <w:sz w:val="24"/>
          <w:szCs w:val="24"/>
        </w:rPr>
      </w:pPr>
      <w:r w:rsidRPr="002D78EB">
        <w:rPr>
          <w:rFonts w:ascii="Times New Roman" w:hAnsi="Times New Roman" w:cs="Times New Roman"/>
          <w:i/>
          <w:sz w:val="24"/>
          <w:szCs w:val="24"/>
        </w:rPr>
        <w:t>Yeoman’s Row</w:t>
      </w:r>
      <w:r w:rsidRPr="002D78EB">
        <w:rPr>
          <w:rFonts w:ascii="Times New Roman" w:hAnsi="Times New Roman" w:cs="Times New Roman"/>
          <w:sz w:val="24"/>
          <w:szCs w:val="24"/>
        </w:rPr>
        <w:t xml:space="preserve"> </w:t>
      </w:r>
      <w:r w:rsidR="00884015">
        <w:rPr>
          <w:rFonts w:ascii="Times New Roman" w:hAnsi="Times New Roman" w:cs="Times New Roman"/>
          <w:sz w:val="24"/>
          <w:szCs w:val="24"/>
        </w:rPr>
        <w:t xml:space="preserve">where </w:t>
      </w:r>
      <w:r w:rsidRPr="002D78EB">
        <w:rPr>
          <w:rFonts w:ascii="Times New Roman" w:hAnsi="Times New Roman" w:cs="Times New Roman"/>
          <w:sz w:val="24"/>
          <w:szCs w:val="24"/>
        </w:rPr>
        <w:t xml:space="preserve">the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which was awarded included a sum to reimburse the claimant for his outgoings in applying for and obtaining planning permission. The outgoings were presumed to be reasonably incurred unless the defendant could prove otherwise. In addition a fee was included for the claimant’s work which was to be assessed at the rate which would be charged by an experienced property developer. The inclusion of such a fee would indicate that the claimant was being reimbursed for the work which he had done rather than the defendant being liable to make restitution of the value of the benefit received as a result of the claimant’s work. That was instead a matter for the remedy of unjust enrichment, where Lord Scott considered whether the defendant had been enriched by the enhancement in the value of the property or the value of the services themselves.</w:t>
      </w:r>
      <w:r w:rsidR="00E53AE4">
        <w:rPr>
          <w:rFonts w:ascii="Times New Roman" w:hAnsi="Times New Roman" w:cs="Times New Roman"/>
          <w:sz w:val="24"/>
          <w:szCs w:val="24"/>
        </w:rPr>
        <w:t xml:space="preserve"> Again, by treating </w:t>
      </w:r>
      <w:r w:rsidR="00E53AE4">
        <w:rPr>
          <w:rFonts w:ascii="Times New Roman" w:hAnsi="Times New Roman" w:cs="Times New Roman"/>
          <w:i/>
          <w:sz w:val="24"/>
          <w:szCs w:val="24"/>
        </w:rPr>
        <w:t xml:space="preserve">quantum </w:t>
      </w:r>
      <w:proofErr w:type="spellStart"/>
      <w:r w:rsidR="00E53AE4">
        <w:rPr>
          <w:rFonts w:ascii="Times New Roman" w:hAnsi="Times New Roman" w:cs="Times New Roman"/>
          <w:i/>
          <w:sz w:val="24"/>
          <w:szCs w:val="24"/>
        </w:rPr>
        <w:t>meruit</w:t>
      </w:r>
      <w:proofErr w:type="spellEnd"/>
      <w:r w:rsidR="00E53AE4">
        <w:rPr>
          <w:rFonts w:ascii="Times New Roman" w:hAnsi="Times New Roman" w:cs="Times New Roman"/>
          <w:sz w:val="24"/>
          <w:szCs w:val="24"/>
        </w:rPr>
        <w:t xml:space="preserve"> as a claim the court fell into </w:t>
      </w:r>
      <w:r w:rsidR="004721A5">
        <w:rPr>
          <w:rFonts w:ascii="Times New Roman" w:hAnsi="Times New Roman" w:cs="Times New Roman"/>
          <w:sz w:val="24"/>
          <w:szCs w:val="24"/>
        </w:rPr>
        <w:t>error</w:t>
      </w:r>
      <w:r w:rsidR="00E53AE4">
        <w:rPr>
          <w:rFonts w:ascii="Times New Roman" w:hAnsi="Times New Roman" w:cs="Times New Roman"/>
          <w:sz w:val="24"/>
          <w:szCs w:val="24"/>
        </w:rPr>
        <w:t xml:space="preserve"> in its analysis of the nature of the remedy. If the focus is on unjust enrichment alone, it follows that the remedy will necessarily be gain-based.</w:t>
      </w:r>
      <w:r w:rsidR="00B545FE">
        <w:rPr>
          <w:rFonts w:ascii="Times New Roman" w:hAnsi="Times New Roman" w:cs="Times New Roman"/>
          <w:sz w:val="24"/>
          <w:szCs w:val="24"/>
        </w:rPr>
        <w:t xml:space="preserve"> The effect of that remedy is not to </w:t>
      </w:r>
      <w:r w:rsidR="004721A5">
        <w:rPr>
          <w:rFonts w:ascii="Times New Roman" w:hAnsi="Times New Roman" w:cs="Times New Roman"/>
          <w:sz w:val="24"/>
          <w:szCs w:val="24"/>
        </w:rPr>
        <w:t>compensate</w:t>
      </w:r>
      <w:r w:rsidR="00B545FE">
        <w:rPr>
          <w:rFonts w:ascii="Times New Roman" w:hAnsi="Times New Roman" w:cs="Times New Roman"/>
          <w:sz w:val="24"/>
          <w:szCs w:val="24"/>
        </w:rPr>
        <w:t xml:space="preserve"> the claimant for any loss suffered, but rather focuses on valuing the </w:t>
      </w:r>
      <w:r w:rsidR="004721A5">
        <w:rPr>
          <w:rFonts w:ascii="Times New Roman" w:hAnsi="Times New Roman" w:cs="Times New Roman"/>
          <w:sz w:val="24"/>
          <w:szCs w:val="24"/>
        </w:rPr>
        <w:t>defendant’s</w:t>
      </w:r>
      <w:r w:rsidR="00B545FE">
        <w:rPr>
          <w:rFonts w:ascii="Times New Roman" w:hAnsi="Times New Roman" w:cs="Times New Roman"/>
          <w:sz w:val="24"/>
          <w:szCs w:val="24"/>
        </w:rPr>
        <w:t xml:space="preserve"> gain. Of </w:t>
      </w:r>
      <w:r w:rsidR="004721A5">
        <w:rPr>
          <w:rFonts w:ascii="Times New Roman" w:hAnsi="Times New Roman" w:cs="Times New Roman"/>
          <w:sz w:val="24"/>
          <w:szCs w:val="24"/>
        </w:rPr>
        <w:t>course</w:t>
      </w:r>
      <w:r w:rsidR="00B545FE">
        <w:rPr>
          <w:rFonts w:ascii="Times New Roman" w:hAnsi="Times New Roman" w:cs="Times New Roman"/>
          <w:sz w:val="24"/>
          <w:szCs w:val="24"/>
        </w:rPr>
        <w:t xml:space="preserve">, </w:t>
      </w:r>
      <w:r w:rsidR="004721A5">
        <w:rPr>
          <w:rFonts w:ascii="Times New Roman" w:hAnsi="Times New Roman" w:cs="Times New Roman"/>
          <w:sz w:val="24"/>
          <w:szCs w:val="24"/>
        </w:rPr>
        <w:t>typically</w:t>
      </w:r>
      <w:r w:rsidR="00B545FE">
        <w:rPr>
          <w:rFonts w:ascii="Times New Roman" w:hAnsi="Times New Roman" w:cs="Times New Roman"/>
          <w:sz w:val="24"/>
          <w:szCs w:val="24"/>
        </w:rPr>
        <w:t>, the value of the defendant’s gain will correspond with the loss suffered by the claimant and where this is the case the defendant will be required to restore the value to the claimant. For that is what the law of unjust enrichment is about: to correct the injustice of the defendant being enriched in circumstances of injustice and restoring value to the claimant.</w:t>
      </w:r>
    </w:p>
    <w:p w:rsidR="00200630" w:rsidRPr="002D78EB" w:rsidRDefault="00200630" w:rsidP="00DF283F">
      <w:pPr>
        <w:rPr>
          <w:rFonts w:ascii="Times New Roman" w:hAnsi="Times New Roman" w:cs="Times New Roman"/>
          <w:b/>
          <w:sz w:val="24"/>
          <w:szCs w:val="24"/>
        </w:rPr>
      </w:pPr>
      <w:r w:rsidRPr="002D78EB">
        <w:rPr>
          <w:rFonts w:ascii="Times New Roman" w:hAnsi="Times New Roman" w:cs="Times New Roman"/>
          <w:b/>
          <w:sz w:val="24"/>
          <w:szCs w:val="24"/>
        </w:rPr>
        <w:t>5.</w:t>
      </w:r>
      <w:r w:rsidRPr="002D78EB">
        <w:rPr>
          <w:rFonts w:ascii="Times New Roman" w:hAnsi="Times New Roman" w:cs="Times New Roman"/>
          <w:b/>
          <w:sz w:val="24"/>
          <w:szCs w:val="24"/>
        </w:rPr>
        <w:tab/>
      </w:r>
      <w:r w:rsidR="00884015">
        <w:rPr>
          <w:rFonts w:ascii="Times New Roman" w:hAnsi="Times New Roman" w:cs="Times New Roman"/>
          <w:b/>
          <w:sz w:val="24"/>
          <w:szCs w:val="24"/>
        </w:rPr>
        <w:t>Conclusions</w:t>
      </w:r>
    </w:p>
    <w:p w:rsidR="00200630" w:rsidRPr="00280131" w:rsidRDefault="00200630" w:rsidP="00280131">
      <w:pPr>
        <w:rPr>
          <w:rFonts w:ascii="Times New Roman" w:hAnsi="Times New Roman" w:cs="Times New Roman"/>
          <w:sz w:val="24"/>
          <w:szCs w:val="24"/>
        </w:rPr>
      </w:pPr>
      <w:r w:rsidRPr="002D78EB">
        <w:rPr>
          <w:rFonts w:ascii="Times New Roman" w:hAnsi="Times New Roman" w:cs="Times New Roman"/>
          <w:sz w:val="24"/>
          <w:szCs w:val="24"/>
        </w:rPr>
        <w:t>The law of unjust enrichment</w:t>
      </w:r>
      <w:r w:rsidR="00E53AE4">
        <w:rPr>
          <w:rFonts w:ascii="Times New Roman" w:hAnsi="Times New Roman" w:cs="Times New Roman"/>
          <w:sz w:val="24"/>
          <w:szCs w:val="24"/>
        </w:rPr>
        <w:t xml:space="preserve"> was born</w:t>
      </w:r>
      <w:r w:rsidRPr="002D78EB">
        <w:rPr>
          <w:rFonts w:ascii="Times New Roman" w:hAnsi="Times New Roman" w:cs="Times New Roman"/>
          <w:sz w:val="24"/>
          <w:szCs w:val="24"/>
        </w:rPr>
        <w:t xml:space="preserve"> in </w:t>
      </w:r>
      <w:proofErr w:type="spellStart"/>
      <w:r w:rsidRPr="002D78EB">
        <w:rPr>
          <w:rFonts w:ascii="Times New Roman" w:hAnsi="Times New Roman" w:cs="Times New Roman"/>
          <w:i/>
          <w:sz w:val="24"/>
          <w:szCs w:val="24"/>
        </w:rPr>
        <w:t>Lipkin</w:t>
      </w:r>
      <w:proofErr w:type="spellEnd"/>
      <w:r w:rsidRPr="002D78EB">
        <w:rPr>
          <w:rFonts w:ascii="Times New Roman" w:hAnsi="Times New Roman" w:cs="Times New Roman"/>
          <w:i/>
          <w:sz w:val="24"/>
          <w:szCs w:val="24"/>
        </w:rPr>
        <w:t xml:space="preserve"> Gorman (a firm) v </w:t>
      </w:r>
      <w:proofErr w:type="spellStart"/>
      <w:r w:rsidRPr="002D78EB">
        <w:rPr>
          <w:rFonts w:ascii="Times New Roman" w:hAnsi="Times New Roman" w:cs="Times New Roman"/>
          <w:i/>
          <w:sz w:val="24"/>
          <w:szCs w:val="24"/>
        </w:rPr>
        <w:t>Karpnale</w:t>
      </w:r>
      <w:proofErr w:type="spellEnd"/>
      <w:r w:rsidRPr="002D78EB">
        <w:rPr>
          <w:rFonts w:ascii="Times New Roman" w:hAnsi="Times New Roman" w:cs="Times New Roman"/>
          <w:i/>
          <w:sz w:val="24"/>
          <w:szCs w:val="24"/>
        </w:rPr>
        <w:t xml:space="preserve"> Ltd</w:t>
      </w:r>
      <w:r w:rsidR="00884015">
        <w:rPr>
          <w:rFonts w:ascii="Times New Roman" w:hAnsi="Times New Roman" w:cs="Times New Roman"/>
          <w:sz w:val="24"/>
          <w:szCs w:val="24"/>
        </w:rPr>
        <w:t>, nearly 25</w:t>
      </w:r>
      <w:r w:rsidRPr="002D78EB">
        <w:rPr>
          <w:rFonts w:ascii="Times New Roman" w:hAnsi="Times New Roman" w:cs="Times New Roman"/>
          <w:sz w:val="24"/>
          <w:szCs w:val="24"/>
        </w:rPr>
        <w:t xml:space="preserve"> years ago. </w:t>
      </w:r>
      <w:r w:rsidR="00884015">
        <w:rPr>
          <w:rFonts w:ascii="Times New Roman" w:hAnsi="Times New Roman" w:cs="Times New Roman"/>
          <w:sz w:val="24"/>
          <w:szCs w:val="24"/>
        </w:rPr>
        <w:t>It has since matured and is fully embedded in English law. T</w:t>
      </w:r>
      <w:r w:rsidRPr="002D78EB">
        <w:rPr>
          <w:rFonts w:ascii="Times New Roman" w:hAnsi="Times New Roman" w:cs="Times New Roman"/>
          <w:sz w:val="24"/>
          <w:szCs w:val="24"/>
        </w:rPr>
        <w:t xml:space="preserve">he effect of this is that it is entirely right and proper to conclude that the law of unjust enrichment should be able to provide gain-based remedies where the defendant has benefited from a service provided by the claimant. Any other conclusion is unconvincing. </w:t>
      </w:r>
      <w:r w:rsidRPr="002D78EB">
        <w:rPr>
          <w:rFonts w:ascii="Times New Roman" w:hAnsi="Times New Roman" w:cs="Times New Roman"/>
          <w:i/>
          <w:sz w:val="24"/>
          <w:szCs w:val="24"/>
        </w:rPr>
        <w:t xml:space="preserve">Quantum </w:t>
      </w:r>
      <w:proofErr w:type="spellStart"/>
      <w:r w:rsidRPr="002D78EB">
        <w:rPr>
          <w:rFonts w:ascii="Times New Roman" w:hAnsi="Times New Roman" w:cs="Times New Roman"/>
          <w:i/>
          <w:sz w:val="24"/>
          <w:szCs w:val="24"/>
        </w:rPr>
        <w:t>meruit</w:t>
      </w:r>
      <w:proofErr w:type="spellEnd"/>
      <w:r w:rsidRPr="002D78EB">
        <w:rPr>
          <w:rFonts w:ascii="Times New Roman" w:hAnsi="Times New Roman" w:cs="Times New Roman"/>
          <w:sz w:val="24"/>
          <w:szCs w:val="24"/>
        </w:rPr>
        <w:t xml:space="preserve"> cannot be a cause of action in its own right, partly because it was explicitly abolished in 1852, but also </w:t>
      </w:r>
      <w:r w:rsidR="00B545FE">
        <w:rPr>
          <w:rFonts w:ascii="Times New Roman" w:hAnsi="Times New Roman" w:cs="Times New Roman"/>
          <w:sz w:val="24"/>
          <w:szCs w:val="24"/>
        </w:rPr>
        <w:t>because it is unclear what the elements of such a claim might be</w:t>
      </w:r>
      <w:r w:rsidRPr="002D78EB">
        <w:rPr>
          <w:rFonts w:ascii="Times New Roman" w:hAnsi="Times New Roman" w:cs="Times New Roman"/>
          <w:sz w:val="24"/>
          <w:szCs w:val="24"/>
        </w:rPr>
        <w:t>.</w:t>
      </w:r>
      <w:r w:rsidR="00B545FE">
        <w:rPr>
          <w:rFonts w:ascii="Times New Roman" w:hAnsi="Times New Roman" w:cs="Times New Roman"/>
          <w:sz w:val="24"/>
          <w:szCs w:val="24"/>
        </w:rPr>
        <w:t xml:space="preserve"> Rather, the principle underlying the claim is unjust enrichment, for which the remedy is gain-based.</w:t>
      </w:r>
    </w:p>
    <w:sectPr w:rsidR="00200630" w:rsidRPr="0028013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B4" w:rsidRDefault="00BE40B4" w:rsidP="00200630">
      <w:pPr>
        <w:spacing w:after="0" w:line="240" w:lineRule="auto"/>
      </w:pPr>
      <w:r>
        <w:separator/>
      </w:r>
    </w:p>
  </w:endnote>
  <w:endnote w:type="continuationSeparator" w:id="0">
    <w:p w:rsidR="00BE40B4" w:rsidRDefault="00BE40B4" w:rsidP="0020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5" w:rsidRDefault="00472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808518"/>
      <w:docPartObj>
        <w:docPartGallery w:val="Page Numbers (Bottom of Page)"/>
        <w:docPartUnique/>
      </w:docPartObj>
    </w:sdtPr>
    <w:sdtEndPr>
      <w:rPr>
        <w:noProof/>
      </w:rPr>
    </w:sdtEndPr>
    <w:sdtContent>
      <w:p w:rsidR="004721A5" w:rsidRDefault="004721A5">
        <w:pPr>
          <w:pStyle w:val="Footer"/>
          <w:jc w:val="center"/>
        </w:pPr>
        <w:r>
          <w:fldChar w:fldCharType="begin"/>
        </w:r>
        <w:r>
          <w:instrText xml:space="preserve"> PAGE   \* MERGEFORMAT </w:instrText>
        </w:r>
        <w:r>
          <w:fldChar w:fldCharType="separate"/>
        </w:r>
        <w:r w:rsidR="000F4E53">
          <w:rPr>
            <w:noProof/>
          </w:rPr>
          <w:t>2</w:t>
        </w:r>
        <w:r>
          <w:rPr>
            <w:noProof/>
          </w:rPr>
          <w:fldChar w:fldCharType="end"/>
        </w:r>
      </w:p>
    </w:sdtContent>
  </w:sdt>
  <w:p w:rsidR="004721A5" w:rsidRDefault="00472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5" w:rsidRDefault="00472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B4" w:rsidRDefault="00BE40B4" w:rsidP="00200630">
      <w:pPr>
        <w:spacing w:after="0" w:line="240" w:lineRule="auto"/>
      </w:pPr>
      <w:r>
        <w:separator/>
      </w:r>
    </w:p>
  </w:footnote>
  <w:footnote w:type="continuationSeparator" w:id="0">
    <w:p w:rsidR="00BE40B4" w:rsidRDefault="00BE40B4" w:rsidP="00200630">
      <w:pPr>
        <w:spacing w:after="0" w:line="240" w:lineRule="auto"/>
      </w:pPr>
      <w:r>
        <w:continuationSeparator/>
      </w:r>
    </w:p>
  </w:footnote>
  <w:footnote w:id="1">
    <w:p w:rsidR="00BE40B4" w:rsidRDefault="00BE40B4" w:rsidP="00200630">
      <w:pPr>
        <w:pStyle w:val="FootnoteText"/>
        <w:rPr>
          <w:lang w:val="en-GB"/>
        </w:rPr>
      </w:pPr>
      <w:r>
        <w:rPr>
          <w:rStyle w:val="FootnoteReference"/>
        </w:rPr>
        <w:footnoteRef/>
      </w:r>
      <w:r>
        <w:t xml:space="preserve"> [1941] AC 1, 29.</w:t>
      </w:r>
    </w:p>
    <w:p w:rsidR="00BE40B4" w:rsidRPr="00705577" w:rsidRDefault="00BE40B4" w:rsidP="00200630">
      <w:pPr>
        <w:pStyle w:val="FootnoteText"/>
        <w:rPr>
          <w:lang w:val="en-GB"/>
        </w:rPr>
      </w:pPr>
    </w:p>
  </w:footnote>
  <w:footnote w:id="2">
    <w:p w:rsidR="00BE40B4" w:rsidRDefault="00BE40B4">
      <w:pPr>
        <w:pStyle w:val="FootnoteText"/>
      </w:pPr>
      <w:r>
        <w:rPr>
          <w:rStyle w:val="FootnoteReference"/>
        </w:rPr>
        <w:footnoteRef/>
      </w:r>
      <w:r>
        <w:t xml:space="preserve"> As confirmed in </w:t>
      </w:r>
      <w:proofErr w:type="spellStart"/>
      <w:r w:rsidRPr="00884015">
        <w:rPr>
          <w:i/>
        </w:rPr>
        <w:t>Haugesund</w:t>
      </w:r>
      <w:proofErr w:type="spellEnd"/>
      <w:r w:rsidRPr="00884015">
        <w:rPr>
          <w:i/>
        </w:rPr>
        <w:t xml:space="preserve"> </w:t>
      </w:r>
      <w:proofErr w:type="spellStart"/>
      <w:r w:rsidRPr="00884015">
        <w:rPr>
          <w:i/>
        </w:rPr>
        <w:t>Kommune</w:t>
      </w:r>
      <w:proofErr w:type="spellEnd"/>
      <w:r w:rsidRPr="00884015">
        <w:rPr>
          <w:i/>
        </w:rPr>
        <w:t xml:space="preserve"> v </w:t>
      </w:r>
      <w:proofErr w:type="spellStart"/>
      <w:r w:rsidRPr="00884015">
        <w:rPr>
          <w:i/>
        </w:rPr>
        <w:t>Depfa</w:t>
      </w:r>
      <w:proofErr w:type="spellEnd"/>
      <w:r w:rsidRPr="00884015">
        <w:rPr>
          <w:i/>
        </w:rPr>
        <w:t xml:space="preserve"> ACS Bank</w:t>
      </w:r>
      <w:r>
        <w:rPr>
          <w:i/>
        </w:rPr>
        <w:t xml:space="preserve"> </w:t>
      </w:r>
      <w:r>
        <w:t xml:space="preserve">[2010] EWCA </w:t>
      </w:r>
      <w:proofErr w:type="spellStart"/>
      <w:r>
        <w:t>Civ</w:t>
      </w:r>
      <w:proofErr w:type="spellEnd"/>
      <w:r>
        <w:t xml:space="preserve"> 579, </w:t>
      </w:r>
      <w:r w:rsidRPr="00884015">
        <w:t>where a claim for restitution succeeded even though the defendant lacked any capacity to make a promise to repay the claimant.</w:t>
      </w:r>
    </w:p>
  </w:footnote>
  <w:footnote w:id="3">
    <w:p w:rsidR="00BE40B4" w:rsidRDefault="00BE40B4" w:rsidP="00200630">
      <w:pPr>
        <w:pStyle w:val="FootnoteText"/>
      </w:pPr>
    </w:p>
    <w:p w:rsidR="00BE40B4" w:rsidRPr="00BE40B4" w:rsidRDefault="00BE40B4" w:rsidP="00200630">
      <w:pPr>
        <w:pStyle w:val="FootnoteText"/>
        <w:rPr>
          <w:i/>
          <w:lang w:val="en-GB"/>
        </w:rPr>
      </w:pPr>
      <w:r>
        <w:rPr>
          <w:rStyle w:val="FootnoteReference"/>
        </w:rPr>
        <w:footnoteRef/>
      </w:r>
      <w:r>
        <w:t xml:space="preserve"> </w:t>
      </w:r>
      <w:r>
        <w:rPr>
          <w:i/>
          <w:lang w:val="en-GB"/>
        </w:rPr>
        <w:t xml:space="preserve">Whittle Movers Ltd v Hollywood Express Ltd </w:t>
      </w:r>
      <w:r>
        <w:rPr>
          <w:lang w:val="en-GB"/>
        </w:rPr>
        <w:t xml:space="preserve">[2009] EWCA </w:t>
      </w:r>
      <w:proofErr w:type="spellStart"/>
      <w:r>
        <w:rPr>
          <w:lang w:val="en-GB"/>
        </w:rPr>
        <w:t>Civ</w:t>
      </w:r>
      <w:proofErr w:type="spellEnd"/>
      <w:r>
        <w:rPr>
          <w:lang w:val="en-GB"/>
        </w:rPr>
        <w:t xml:space="preserve"> 1189, [46] (Waller LJ); </w:t>
      </w:r>
      <w:proofErr w:type="spellStart"/>
      <w:r>
        <w:rPr>
          <w:i/>
          <w:lang w:val="en-GB"/>
        </w:rPr>
        <w:t>Sharab</w:t>
      </w:r>
      <w:proofErr w:type="spellEnd"/>
      <w:r>
        <w:rPr>
          <w:i/>
          <w:lang w:val="en-GB"/>
        </w:rPr>
        <w:t xml:space="preserve"> v Al-</w:t>
      </w:r>
      <w:proofErr w:type="spellStart"/>
      <w:r>
        <w:rPr>
          <w:i/>
          <w:lang w:val="en-GB"/>
        </w:rPr>
        <w:t>Waleed</w:t>
      </w:r>
      <w:proofErr w:type="spellEnd"/>
      <w:r>
        <w:rPr>
          <w:lang w:val="en-GB"/>
        </w:rPr>
        <w:t xml:space="preserve"> [2012] EWHC 1798 (</w:t>
      </w:r>
      <w:proofErr w:type="spellStart"/>
      <w:r>
        <w:rPr>
          <w:lang w:val="en-GB"/>
        </w:rPr>
        <w:t>Ch</w:t>
      </w:r>
      <w:proofErr w:type="spellEnd"/>
      <w:r>
        <w:rPr>
          <w:lang w:val="en-GB"/>
        </w:rPr>
        <w:t xml:space="preserve">), [58] (Sir William </w:t>
      </w:r>
      <w:proofErr w:type="spellStart"/>
      <w:r>
        <w:rPr>
          <w:lang w:val="en-GB"/>
        </w:rPr>
        <w:t>Blackburne</w:t>
      </w:r>
      <w:proofErr w:type="spellEnd"/>
      <w:r>
        <w:rPr>
          <w:lang w:val="en-GB"/>
        </w:rPr>
        <w:t xml:space="preserve">); </w:t>
      </w:r>
      <w:r w:rsidRPr="00593ACB">
        <w:rPr>
          <w:i/>
          <w:iCs/>
        </w:rPr>
        <w:t xml:space="preserve">Benedetti v </w:t>
      </w:r>
      <w:proofErr w:type="spellStart"/>
      <w:r w:rsidRPr="00593ACB">
        <w:rPr>
          <w:i/>
          <w:iCs/>
        </w:rPr>
        <w:t>Sawiris</w:t>
      </w:r>
      <w:proofErr w:type="spellEnd"/>
      <w:r w:rsidRPr="00593ACB">
        <w:rPr>
          <w:i/>
          <w:iCs/>
        </w:rPr>
        <w:t xml:space="preserve"> </w:t>
      </w:r>
      <w:r>
        <w:t>[2013] UKSC 50, [2014] AC</w:t>
      </w:r>
      <w:r w:rsidRPr="00593ACB">
        <w:t xml:space="preserve"> 938</w:t>
      </w:r>
      <w:r>
        <w:t>.</w:t>
      </w:r>
    </w:p>
  </w:footnote>
  <w:footnote w:id="4">
    <w:p w:rsidR="00BE40B4" w:rsidRDefault="00BE40B4" w:rsidP="00200630">
      <w:pPr>
        <w:pStyle w:val="FootnoteText"/>
      </w:pPr>
    </w:p>
    <w:p w:rsidR="00BE40B4" w:rsidRPr="00462608" w:rsidRDefault="00BE40B4" w:rsidP="00200630">
      <w:pPr>
        <w:pStyle w:val="FootnoteText"/>
        <w:rPr>
          <w:lang w:val="en-GB"/>
        </w:rPr>
      </w:pPr>
      <w:r>
        <w:rPr>
          <w:rStyle w:val="FootnoteReference"/>
        </w:rPr>
        <w:footnoteRef/>
      </w:r>
      <w:r>
        <w:t xml:space="preserve"> </w:t>
      </w:r>
      <w:r w:rsidRPr="006D3F63">
        <w:rPr>
          <w:i/>
        </w:rPr>
        <w:t>MSM Consulting Ltd v United Republic of Tanzania</w:t>
      </w:r>
      <w:r>
        <w:t xml:space="preserve"> [2009] EWHC 121 (QB), [171(d)] (Christopher Clarke J). See also the preference for ‘</w:t>
      </w:r>
      <w:proofErr w:type="spellStart"/>
      <w:r>
        <w:t>unconscionability</w:t>
      </w:r>
      <w:proofErr w:type="spellEnd"/>
      <w:r>
        <w:t xml:space="preserve">’ rather than unjust enrichment in Australia: </w:t>
      </w:r>
      <w:r>
        <w:rPr>
          <w:i/>
        </w:rPr>
        <w:t>Australian Financial Services and Leasing Pty Ltd v Hills Industries Ltd</w:t>
      </w:r>
      <w:r>
        <w:t xml:space="preserve"> [2014] HCA 14.</w:t>
      </w:r>
    </w:p>
  </w:footnote>
  <w:footnote w:id="5">
    <w:p w:rsidR="00BE40B4" w:rsidRDefault="00BE40B4" w:rsidP="00200630">
      <w:pPr>
        <w:pStyle w:val="FootnoteText"/>
      </w:pPr>
    </w:p>
    <w:p w:rsidR="00BE40B4" w:rsidRDefault="00BE40B4" w:rsidP="00200630">
      <w:pPr>
        <w:pStyle w:val="FootnoteText"/>
      </w:pPr>
      <w:r>
        <w:rPr>
          <w:rStyle w:val="FootnoteReference"/>
        </w:rPr>
        <w:footnoteRef/>
      </w:r>
      <w:r>
        <w:t xml:space="preserve"> </w:t>
      </w:r>
      <w:r>
        <w:rPr>
          <w:i/>
        </w:rPr>
        <w:t xml:space="preserve">Yeoman’s Row v </w:t>
      </w:r>
      <w:proofErr w:type="spellStart"/>
      <w:r>
        <w:rPr>
          <w:i/>
        </w:rPr>
        <w:t>Cobbe</w:t>
      </w:r>
      <w:proofErr w:type="spellEnd"/>
      <w:r>
        <w:t xml:space="preserve"> [2008] UKHL 55, [2008] 1 WLR 1752, [42] (Lord Scott); </w:t>
      </w:r>
      <w:proofErr w:type="spellStart"/>
      <w:r>
        <w:rPr>
          <w:i/>
        </w:rPr>
        <w:t>Lissack</w:t>
      </w:r>
      <w:proofErr w:type="spellEnd"/>
      <w:r>
        <w:rPr>
          <w:i/>
        </w:rPr>
        <w:t xml:space="preserve"> v Manhattan Loft Corporation Ltd</w:t>
      </w:r>
      <w:r>
        <w:t xml:space="preserve"> [2013] EWHC 128 (</w:t>
      </w:r>
      <w:proofErr w:type="spellStart"/>
      <w:r>
        <w:t>Ch</w:t>
      </w:r>
      <w:proofErr w:type="spellEnd"/>
      <w:r>
        <w:t xml:space="preserve">), [86] (Roth J). See also </w:t>
      </w:r>
      <w:proofErr w:type="spellStart"/>
      <w:r>
        <w:rPr>
          <w:i/>
        </w:rPr>
        <w:t>Sopov</w:t>
      </w:r>
      <w:proofErr w:type="spellEnd"/>
      <w:r>
        <w:rPr>
          <w:i/>
        </w:rPr>
        <w:t xml:space="preserve"> v Kane Constructions Pty Ltd (No. 2)</w:t>
      </w:r>
      <w:r>
        <w:t xml:space="preserve"> [2009] VSCA 141, [13].</w:t>
      </w:r>
    </w:p>
    <w:p w:rsidR="00BE40B4" w:rsidRPr="00F144EF" w:rsidRDefault="00BE40B4" w:rsidP="00200630">
      <w:pPr>
        <w:pStyle w:val="FootnoteText"/>
        <w:rPr>
          <w:lang w:val="en-GB"/>
        </w:rPr>
      </w:pPr>
    </w:p>
  </w:footnote>
  <w:footnote w:id="6">
    <w:p w:rsidR="00BE40B4" w:rsidRPr="00F44001" w:rsidRDefault="00BE40B4" w:rsidP="00F44001">
      <w:pPr>
        <w:rPr>
          <w:rFonts w:ascii="Times New Roman" w:hAnsi="Times New Roman" w:cs="Times New Roman"/>
          <w:sz w:val="20"/>
          <w:szCs w:val="20"/>
        </w:rPr>
      </w:pPr>
      <w:r w:rsidRPr="00F44001">
        <w:rPr>
          <w:rStyle w:val="FootnoteReference"/>
          <w:rFonts w:ascii="Times New Roman" w:hAnsi="Times New Roman" w:cs="Times New Roman"/>
          <w:sz w:val="20"/>
          <w:szCs w:val="20"/>
        </w:rPr>
        <w:footnoteRef/>
      </w:r>
      <w:r w:rsidRPr="00F44001">
        <w:rPr>
          <w:rFonts w:ascii="Times New Roman" w:hAnsi="Times New Roman" w:cs="Times New Roman"/>
          <w:sz w:val="20"/>
          <w:szCs w:val="20"/>
        </w:rPr>
        <w:t xml:space="preserve"> Following its formal recognition by Lord Goff in </w:t>
      </w:r>
      <w:proofErr w:type="spellStart"/>
      <w:r w:rsidRPr="00F44001">
        <w:rPr>
          <w:rFonts w:ascii="Times New Roman" w:hAnsi="Times New Roman" w:cs="Times New Roman"/>
          <w:i/>
          <w:sz w:val="20"/>
          <w:szCs w:val="20"/>
        </w:rPr>
        <w:t>Lipkin</w:t>
      </w:r>
      <w:proofErr w:type="spellEnd"/>
      <w:r w:rsidRPr="00F44001">
        <w:rPr>
          <w:rFonts w:ascii="Times New Roman" w:hAnsi="Times New Roman" w:cs="Times New Roman"/>
          <w:i/>
          <w:sz w:val="20"/>
          <w:szCs w:val="20"/>
        </w:rPr>
        <w:t xml:space="preserve"> Gorman (a firm)</w:t>
      </w:r>
      <w:r w:rsidRPr="00F44001">
        <w:rPr>
          <w:rFonts w:ascii="Times New Roman" w:hAnsi="Times New Roman" w:cs="Times New Roman"/>
          <w:sz w:val="20"/>
          <w:szCs w:val="20"/>
        </w:rPr>
        <w:t xml:space="preserve"> </w:t>
      </w:r>
      <w:r w:rsidRPr="00F44001">
        <w:rPr>
          <w:rFonts w:ascii="Times New Roman" w:hAnsi="Times New Roman" w:cs="Times New Roman"/>
          <w:i/>
          <w:sz w:val="20"/>
          <w:szCs w:val="20"/>
        </w:rPr>
        <w:t>v</w:t>
      </w:r>
      <w:r w:rsidRPr="00F44001">
        <w:rPr>
          <w:rFonts w:ascii="Times New Roman" w:hAnsi="Times New Roman" w:cs="Times New Roman"/>
          <w:sz w:val="20"/>
          <w:szCs w:val="20"/>
        </w:rPr>
        <w:t xml:space="preserve"> </w:t>
      </w:r>
      <w:proofErr w:type="spellStart"/>
      <w:r w:rsidRPr="00F44001">
        <w:rPr>
          <w:rFonts w:ascii="Times New Roman" w:hAnsi="Times New Roman" w:cs="Times New Roman"/>
          <w:i/>
          <w:sz w:val="20"/>
          <w:szCs w:val="20"/>
        </w:rPr>
        <w:t>Karpnale</w:t>
      </w:r>
      <w:proofErr w:type="spellEnd"/>
      <w:r w:rsidRPr="00F44001">
        <w:rPr>
          <w:rFonts w:ascii="Times New Roman" w:hAnsi="Times New Roman" w:cs="Times New Roman"/>
          <w:i/>
          <w:sz w:val="20"/>
          <w:szCs w:val="20"/>
        </w:rPr>
        <w:t xml:space="preserve"> Ltd</w:t>
      </w:r>
      <w:r w:rsidRPr="00F44001">
        <w:rPr>
          <w:rFonts w:ascii="Times New Roman" w:hAnsi="Times New Roman" w:cs="Times New Roman"/>
          <w:sz w:val="20"/>
          <w:szCs w:val="20"/>
        </w:rPr>
        <w:t xml:space="preserve"> [1991] 2 AC 548, 578.</w:t>
      </w:r>
    </w:p>
  </w:footnote>
  <w:footnote w:id="7">
    <w:p w:rsidR="00BE40B4" w:rsidRDefault="00BE40B4" w:rsidP="00200630">
      <w:pPr>
        <w:pStyle w:val="FootnoteText"/>
      </w:pPr>
      <w:r>
        <w:rPr>
          <w:rStyle w:val="FootnoteReference"/>
        </w:rPr>
        <w:footnoteRef/>
      </w:r>
      <w:r>
        <w:t xml:space="preserve"> [2008] UKHL 55, [2008] 1 WLR 1752.</w:t>
      </w:r>
    </w:p>
    <w:p w:rsidR="00BE40B4" w:rsidRPr="003A2253" w:rsidRDefault="00BE40B4" w:rsidP="00200630">
      <w:pPr>
        <w:pStyle w:val="FootnoteText"/>
        <w:rPr>
          <w:lang w:val="en-GB"/>
        </w:rPr>
      </w:pPr>
    </w:p>
  </w:footnote>
  <w:footnote w:id="8">
    <w:p w:rsidR="00BE40B4" w:rsidRPr="00440B70" w:rsidRDefault="00BE40B4" w:rsidP="00200630">
      <w:pPr>
        <w:pStyle w:val="FootnoteText"/>
        <w:rPr>
          <w:lang w:val="en-GB"/>
        </w:rPr>
      </w:pPr>
      <w:r>
        <w:rPr>
          <w:rStyle w:val="FootnoteReference"/>
        </w:rPr>
        <w:footnoteRef/>
      </w:r>
      <w:r>
        <w:t xml:space="preserve"> Ibid, [39].</w:t>
      </w:r>
    </w:p>
  </w:footnote>
  <w:footnote w:id="9">
    <w:p w:rsidR="00BE40B4" w:rsidRDefault="00BE40B4" w:rsidP="00200630">
      <w:pPr>
        <w:pStyle w:val="FootnoteText"/>
      </w:pPr>
    </w:p>
    <w:p w:rsidR="00BE40B4" w:rsidRPr="00A33B2D" w:rsidRDefault="00BE40B4" w:rsidP="00200630">
      <w:pPr>
        <w:pStyle w:val="FootnoteText"/>
        <w:rPr>
          <w:lang w:val="en-GB"/>
        </w:rPr>
      </w:pPr>
      <w:r>
        <w:rPr>
          <w:rStyle w:val="FootnoteReference"/>
        </w:rPr>
        <w:footnoteRef/>
      </w:r>
      <w:r>
        <w:t xml:space="preserve"> Ibid, [3.iii].</w:t>
      </w:r>
    </w:p>
  </w:footnote>
  <w:footnote w:id="10">
    <w:p w:rsidR="00BE40B4" w:rsidRDefault="00BE40B4" w:rsidP="00200630">
      <w:pPr>
        <w:pStyle w:val="FootnoteText"/>
      </w:pPr>
    </w:p>
    <w:p w:rsidR="00BE40B4" w:rsidRPr="00A33B2D" w:rsidRDefault="00BE40B4" w:rsidP="00200630">
      <w:pPr>
        <w:pStyle w:val="FootnoteText"/>
        <w:rPr>
          <w:lang w:val="en-GB"/>
        </w:rPr>
      </w:pPr>
      <w:r>
        <w:rPr>
          <w:rStyle w:val="FootnoteReference"/>
        </w:rPr>
        <w:footnoteRef/>
      </w:r>
      <w:r>
        <w:t xml:space="preserve"> </w:t>
      </w:r>
      <w:r w:rsidRPr="00DB4EFB">
        <w:rPr>
          <w:i/>
        </w:rPr>
        <w:t>Unjust Enrichment</w:t>
      </w:r>
      <w:r w:rsidRPr="00DB4EFB">
        <w:t xml:space="preserve"> (2</w:t>
      </w:r>
      <w:r w:rsidRPr="00DB4EFB">
        <w:rPr>
          <w:vertAlign w:val="superscript"/>
        </w:rPr>
        <w:t>nd</w:t>
      </w:r>
      <w:r w:rsidRPr="00DB4EFB">
        <w:t xml:space="preserve"> ed., 2005)</w:t>
      </w:r>
      <w:r>
        <w:t>, Ch. 5.</w:t>
      </w:r>
    </w:p>
  </w:footnote>
  <w:footnote w:id="11">
    <w:p w:rsidR="00BE40B4" w:rsidRDefault="00BE40B4" w:rsidP="00200630">
      <w:pPr>
        <w:pStyle w:val="FootnoteText"/>
      </w:pPr>
    </w:p>
    <w:p w:rsidR="00BE40B4" w:rsidRPr="00C51D6C" w:rsidRDefault="00BE40B4" w:rsidP="00200630">
      <w:pPr>
        <w:pStyle w:val="FootnoteText"/>
        <w:rPr>
          <w:lang w:val="en-GB"/>
        </w:rPr>
      </w:pPr>
      <w:r>
        <w:rPr>
          <w:rStyle w:val="FootnoteReference"/>
        </w:rPr>
        <w:footnoteRef/>
      </w:r>
      <w:r>
        <w:t xml:space="preserve"> [2008] UKHL 55, [2008] 1 WLR 1752, [42].</w:t>
      </w:r>
    </w:p>
  </w:footnote>
  <w:footnote w:id="12">
    <w:p w:rsidR="00BE40B4" w:rsidRDefault="00BE40B4">
      <w:pPr>
        <w:pStyle w:val="FootnoteText"/>
      </w:pPr>
      <w:r>
        <w:rPr>
          <w:rStyle w:val="FootnoteReference"/>
        </w:rPr>
        <w:footnoteRef/>
      </w:r>
      <w:r>
        <w:t xml:space="preserve"> </w:t>
      </w:r>
      <w:r>
        <w:rPr>
          <w:i/>
        </w:rPr>
        <w:t xml:space="preserve">Barnes v The </w:t>
      </w:r>
      <w:proofErr w:type="spellStart"/>
      <w:r>
        <w:rPr>
          <w:i/>
        </w:rPr>
        <w:t>Eastenders</w:t>
      </w:r>
      <w:proofErr w:type="spellEnd"/>
      <w:r>
        <w:rPr>
          <w:i/>
        </w:rPr>
        <w:t xml:space="preserve"> Group</w:t>
      </w:r>
      <w:r>
        <w:t xml:space="preserve"> [2014] UKSC 26, [105], Lord </w:t>
      </w:r>
      <w:proofErr w:type="spellStart"/>
      <w:r>
        <w:t>Toulson</w:t>
      </w:r>
      <w:proofErr w:type="spellEnd"/>
      <w:r>
        <w:t>).</w:t>
      </w:r>
    </w:p>
  </w:footnote>
  <w:footnote w:id="13">
    <w:p w:rsidR="00BE40B4" w:rsidRPr="002D78EB" w:rsidRDefault="00BE40B4" w:rsidP="00200630">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w:t>
      </w:r>
      <w:proofErr w:type="spellStart"/>
      <w:r w:rsidRPr="002D78EB">
        <w:rPr>
          <w:rFonts w:ascii="Times New Roman" w:hAnsi="Times New Roman" w:cs="Times New Roman"/>
          <w:i/>
          <w:iCs/>
          <w:sz w:val="20"/>
          <w:szCs w:val="20"/>
        </w:rPr>
        <w:t>Falcke</w:t>
      </w:r>
      <w:proofErr w:type="spellEnd"/>
      <w:r w:rsidRPr="002D78EB">
        <w:rPr>
          <w:rFonts w:ascii="Times New Roman" w:hAnsi="Times New Roman" w:cs="Times New Roman"/>
          <w:i/>
          <w:iCs/>
          <w:sz w:val="20"/>
          <w:szCs w:val="20"/>
        </w:rPr>
        <w:t xml:space="preserve"> v Scottish Imperial Insurance Company</w:t>
      </w:r>
      <w:r>
        <w:rPr>
          <w:rFonts w:ascii="Times New Roman" w:hAnsi="Times New Roman" w:cs="Times New Roman"/>
          <w:sz w:val="20"/>
          <w:szCs w:val="20"/>
        </w:rPr>
        <w:t xml:space="preserve"> (1887) 34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D</w:t>
      </w:r>
      <w:r w:rsidRPr="002D78EB">
        <w:rPr>
          <w:rFonts w:ascii="Times New Roman" w:hAnsi="Times New Roman" w:cs="Times New Roman"/>
          <w:sz w:val="20"/>
          <w:szCs w:val="20"/>
        </w:rPr>
        <w:t xml:space="preserve"> 234, 248–249. </w:t>
      </w:r>
    </w:p>
  </w:footnote>
  <w:footnote w:id="14">
    <w:p w:rsidR="00BE40B4" w:rsidRPr="00F44001" w:rsidRDefault="00BE40B4" w:rsidP="00F44001">
      <w:pPr>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Fonts w:ascii="Times New Roman" w:hAnsi="Times New Roman" w:cs="Times New Roman"/>
          <w:sz w:val="20"/>
          <w:szCs w:val="20"/>
        </w:rPr>
        <w:t xml:space="preserve"> [2010] UKSC 14, [2010] 1 WLR 753.</w:t>
      </w:r>
    </w:p>
  </w:footnote>
  <w:footnote w:id="15">
    <w:p w:rsidR="00BE40B4" w:rsidRPr="002D78EB" w:rsidRDefault="00BE40B4" w:rsidP="00200630">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xml:space="preserve"> (1831) 8 Bing. 14. </w:t>
      </w:r>
    </w:p>
  </w:footnote>
  <w:footnote w:id="16">
    <w:p w:rsidR="00BE40B4" w:rsidRPr="00F44001" w:rsidRDefault="00BE40B4" w:rsidP="00593ACB">
      <w:pPr>
        <w:rPr>
          <w:rFonts w:ascii="Times New Roman" w:hAnsi="Times New Roman" w:cs="Times New Roman"/>
          <w:i/>
          <w:iCs/>
          <w:sz w:val="20"/>
          <w:szCs w:val="20"/>
        </w:rPr>
      </w:pPr>
      <w:r w:rsidRPr="002D78EB">
        <w:rPr>
          <w:rStyle w:val="FootnoteReference"/>
          <w:rFonts w:ascii="Times New Roman" w:hAnsi="Times New Roman" w:cs="Times New Roman"/>
          <w:sz w:val="20"/>
          <w:szCs w:val="20"/>
        </w:rPr>
        <w:footnoteRef/>
      </w:r>
      <w:r w:rsidRPr="002D78EB">
        <w:rPr>
          <w:rFonts w:ascii="Times New Roman" w:hAnsi="Times New Roman" w:cs="Times New Roman"/>
          <w:sz w:val="20"/>
          <w:szCs w:val="20"/>
        </w:rPr>
        <w:t xml:space="preserve"> Ibid, 16. </w:t>
      </w:r>
      <w:r>
        <w:rPr>
          <w:rFonts w:ascii="Times New Roman" w:hAnsi="Times New Roman" w:cs="Times New Roman"/>
          <w:sz w:val="20"/>
          <w:szCs w:val="20"/>
        </w:rPr>
        <w:t>See also</w:t>
      </w:r>
      <w:r w:rsidRPr="001036BE">
        <w:rPr>
          <w:rFonts w:ascii="Times New Roman" w:hAnsi="Times New Roman" w:cs="Times New Roman"/>
          <w:i/>
          <w:sz w:val="20"/>
          <w:szCs w:val="20"/>
        </w:rPr>
        <w:t xml:space="preserve"> </w:t>
      </w:r>
      <w:proofErr w:type="spellStart"/>
      <w:r w:rsidRPr="003D28E3">
        <w:rPr>
          <w:rFonts w:ascii="Times New Roman" w:hAnsi="Times New Roman" w:cs="Times New Roman"/>
          <w:i/>
          <w:sz w:val="20"/>
          <w:szCs w:val="20"/>
        </w:rPr>
        <w:t>Berezovsky</w:t>
      </w:r>
      <w:proofErr w:type="spellEnd"/>
      <w:r w:rsidRPr="003D28E3">
        <w:rPr>
          <w:rFonts w:ascii="Times New Roman" w:hAnsi="Times New Roman" w:cs="Times New Roman"/>
          <w:i/>
          <w:sz w:val="20"/>
          <w:szCs w:val="20"/>
        </w:rPr>
        <w:t xml:space="preserve"> v </w:t>
      </w:r>
      <w:proofErr w:type="spellStart"/>
      <w:r w:rsidRPr="003D28E3">
        <w:rPr>
          <w:rFonts w:ascii="Times New Roman" w:hAnsi="Times New Roman" w:cs="Times New Roman"/>
          <w:i/>
          <w:sz w:val="20"/>
          <w:szCs w:val="20"/>
        </w:rPr>
        <w:t>Edmiston</w:t>
      </w:r>
      <w:proofErr w:type="spellEnd"/>
      <w:r w:rsidRPr="003D28E3">
        <w:rPr>
          <w:rFonts w:ascii="Times New Roman" w:hAnsi="Times New Roman" w:cs="Times New Roman"/>
          <w:sz w:val="20"/>
          <w:szCs w:val="20"/>
        </w:rPr>
        <w:t xml:space="preserve"> [2010] EWH</w:t>
      </w:r>
      <w:r>
        <w:rPr>
          <w:rFonts w:ascii="Times New Roman" w:hAnsi="Times New Roman" w:cs="Times New Roman"/>
          <w:sz w:val="20"/>
          <w:szCs w:val="20"/>
        </w:rPr>
        <w:t>C 1883 (</w:t>
      </w:r>
      <w:proofErr w:type="spellStart"/>
      <w:r>
        <w:rPr>
          <w:rFonts w:ascii="Times New Roman" w:hAnsi="Times New Roman" w:cs="Times New Roman"/>
          <w:sz w:val="20"/>
          <w:szCs w:val="20"/>
        </w:rPr>
        <w:t>Comm</w:t>
      </w:r>
      <w:proofErr w:type="spellEnd"/>
      <w:r>
        <w:rPr>
          <w:rFonts w:ascii="Times New Roman" w:hAnsi="Times New Roman" w:cs="Times New Roman"/>
          <w:sz w:val="20"/>
          <w:szCs w:val="20"/>
        </w:rPr>
        <w:t>), [70] (Field J).</w:t>
      </w:r>
    </w:p>
  </w:footnote>
  <w:footnote w:id="17">
    <w:p w:rsidR="00BE40B4" w:rsidRPr="00593ACB" w:rsidRDefault="00BE40B4" w:rsidP="00200630">
      <w:pPr>
        <w:widowControl w:val="0"/>
        <w:autoSpaceDE w:val="0"/>
        <w:autoSpaceDN w:val="0"/>
        <w:adjustRightInd w:val="0"/>
        <w:rPr>
          <w:rFonts w:ascii="Times New Roman" w:hAnsi="Times New Roman" w:cs="Times New Roman"/>
          <w:i/>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w:t>
      </w:r>
      <w:r w:rsidRPr="002D78EB">
        <w:rPr>
          <w:rFonts w:ascii="Times New Roman" w:hAnsi="Times New Roman" w:cs="Times New Roman"/>
          <w:i/>
          <w:iCs/>
          <w:sz w:val="20"/>
          <w:szCs w:val="20"/>
        </w:rPr>
        <w:t xml:space="preserve">Way v </w:t>
      </w:r>
      <w:proofErr w:type="spellStart"/>
      <w:r w:rsidRPr="002D78EB">
        <w:rPr>
          <w:rFonts w:ascii="Times New Roman" w:hAnsi="Times New Roman" w:cs="Times New Roman"/>
          <w:i/>
          <w:iCs/>
          <w:sz w:val="20"/>
          <w:szCs w:val="20"/>
        </w:rPr>
        <w:t>Latilla</w:t>
      </w:r>
      <w:proofErr w:type="spellEnd"/>
      <w:r w:rsidRPr="002D78EB">
        <w:rPr>
          <w:rFonts w:ascii="Times New Roman" w:hAnsi="Times New Roman" w:cs="Times New Roman"/>
          <w:sz w:val="20"/>
          <w:szCs w:val="20"/>
        </w:rPr>
        <w:t xml:space="preserve"> [1937] 3 All ER 759</w:t>
      </w:r>
      <w:r>
        <w:rPr>
          <w:rFonts w:ascii="Times New Roman" w:hAnsi="Times New Roman" w:cs="Times New Roman"/>
          <w:sz w:val="20"/>
          <w:szCs w:val="20"/>
        </w:rPr>
        <w:t xml:space="preserve">; </w:t>
      </w:r>
      <w:r w:rsidRPr="00593ACB">
        <w:rPr>
          <w:rFonts w:ascii="Times New Roman" w:hAnsi="Times New Roman" w:cs="Times New Roman"/>
          <w:i/>
          <w:iCs/>
          <w:sz w:val="20"/>
          <w:szCs w:val="20"/>
        </w:rPr>
        <w:t xml:space="preserve">Benedetti v </w:t>
      </w:r>
      <w:proofErr w:type="spellStart"/>
      <w:r w:rsidRPr="00593ACB">
        <w:rPr>
          <w:rFonts w:ascii="Times New Roman" w:hAnsi="Times New Roman" w:cs="Times New Roman"/>
          <w:i/>
          <w:iCs/>
          <w:sz w:val="20"/>
          <w:szCs w:val="20"/>
        </w:rPr>
        <w:t>Sawiris</w:t>
      </w:r>
      <w:proofErr w:type="spellEnd"/>
      <w:r w:rsidRPr="00593ACB">
        <w:rPr>
          <w:rFonts w:ascii="Times New Roman" w:hAnsi="Times New Roman" w:cs="Times New Roman"/>
          <w:i/>
          <w:iCs/>
          <w:sz w:val="20"/>
          <w:szCs w:val="20"/>
        </w:rPr>
        <w:t xml:space="preserve"> </w:t>
      </w:r>
      <w:r>
        <w:rPr>
          <w:rFonts w:ascii="Times New Roman" w:hAnsi="Times New Roman" w:cs="Times New Roman"/>
          <w:sz w:val="20"/>
          <w:szCs w:val="20"/>
        </w:rPr>
        <w:t>[2013] UKSC 50, [2014] AC</w:t>
      </w:r>
      <w:r w:rsidRPr="00593ACB">
        <w:rPr>
          <w:rFonts w:ascii="Times New Roman" w:hAnsi="Times New Roman" w:cs="Times New Roman"/>
          <w:sz w:val="20"/>
          <w:szCs w:val="20"/>
        </w:rPr>
        <w:t xml:space="preserve"> 938</w:t>
      </w:r>
      <w:r>
        <w:rPr>
          <w:rFonts w:ascii="Times New Roman" w:hAnsi="Times New Roman" w:cs="Times New Roman"/>
          <w:sz w:val="20"/>
          <w:szCs w:val="20"/>
        </w:rPr>
        <w:t>,</w:t>
      </w:r>
      <w:r w:rsidRPr="00593ACB">
        <w:rPr>
          <w:rFonts w:ascii="Times New Roman" w:hAnsi="Times New Roman" w:cs="Times New Roman"/>
          <w:sz w:val="20"/>
          <w:szCs w:val="20"/>
        </w:rPr>
        <w:t xml:space="preserve"> [9]</w:t>
      </w:r>
      <w:r>
        <w:rPr>
          <w:rFonts w:ascii="Times New Roman" w:hAnsi="Times New Roman" w:cs="Times New Roman"/>
          <w:sz w:val="20"/>
          <w:szCs w:val="20"/>
        </w:rPr>
        <w:t xml:space="preserve"> (Lord Clarke).</w:t>
      </w:r>
    </w:p>
  </w:footnote>
  <w:footnote w:id="18">
    <w:p w:rsidR="00BE40B4" w:rsidRPr="002D78EB" w:rsidRDefault="00BE40B4" w:rsidP="00200630">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[1919] 2 KB 722, 726</w:t>
      </w:r>
      <w:r>
        <w:rPr>
          <w:rStyle w:val="brk"/>
          <w:rFonts w:ascii="Times New Roman" w:hAnsi="Times New Roman" w:cs="Times New Roman"/>
          <w:sz w:val="20"/>
          <w:szCs w:val="20"/>
        </w:rPr>
        <w:t>.</w:t>
      </w:r>
    </w:p>
  </w:footnote>
  <w:footnote w:id="19">
    <w:p w:rsidR="00BE40B4" w:rsidRPr="002D78EB" w:rsidRDefault="00BE40B4" w:rsidP="00200630">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[1984] 1 All ER 504, 511.</w:t>
      </w:r>
    </w:p>
  </w:footnote>
  <w:footnote w:id="20">
    <w:p w:rsidR="00BE40B4" w:rsidRPr="002D78EB" w:rsidRDefault="00BE40B4" w:rsidP="00200630">
      <w:pPr>
        <w:pStyle w:val="FootnoteText"/>
        <w:rPr>
          <w:lang w:val="en-GB"/>
        </w:rPr>
      </w:pPr>
      <w:r w:rsidRPr="002D78EB">
        <w:rPr>
          <w:rStyle w:val="FootnoteReference"/>
        </w:rPr>
        <w:footnoteRef/>
      </w:r>
      <w:r w:rsidRPr="002D78EB">
        <w:t xml:space="preserve"> [2009] E</w:t>
      </w:r>
      <w:r>
        <w:t xml:space="preserve">WCA </w:t>
      </w:r>
      <w:proofErr w:type="spellStart"/>
      <w:r>
        <w:t>Civ</w:t>
      </w:r>
      <w:proofErr w:type="spellEnd"/>
      <w:r>
        <w:t xml:space="preserve"> 1189, </w:t>
      </w:r>
      <w:r w:rsidRPr="002D78EB">
        <w:t>[15].</w:t>
      </w:r>
    </w:p>
    <w:p w:rsidR="00BE40B4" w:rsidRPr="002D78EB" w:rsidRDefault="00BE40B4" w:rsidP="00200630">
      <w:pPr>
        <w:pStyle w:val="FootnoteText"/>
        <w:rPr>
          <w:lang w:val="en-GB"/>
        </w:rPr>
      </w:pPr>
    </w:p>
  </w:footnote>
  <w:footnote w:id="21">
    <w:p w:rsidR="00BE40B4" w:rsidRPr="009B5D96" w:rsidRDefault="00BE40B4">
      <w:pPr>
        <w:pStyle w:val="FootnoteText"/>
      </w:pPr>
      <w:r>
        <w:rPr>
          <w:rStyle w:val="FootnoteReference"/>
        </w:rPr>
        <w:footnoteRef/>
      </w:r>
      <w:r>
        <w:t xml:space="preserve"> See Virgo, </w:t>
      </w:r>
      <w:r>
        <w:rPr>
          <w:i/>
        </w:rPr>
        <w:t xml:space="preserve">The Principles of the Law of Restitution </w:t>
      </w:r>
      <w:r>
        <w:t>(3</w:t>
      </w:r>
      <w:r w:rsidRPr="001D3FC2">
        <w:rPr>
          <w:vertAlign w:val="superscript"/>
        </w:rPr>
        <w:t>rd</w:t>
      </w:r>
      <w:r>
        <w:t xml:space="preserve"> ed.) (OUP, 2015), </w:t>
      </w:r>
      <w:proofErr w:type="spellStart"/>
      <w:r>
        <w:t>ch</w:t>
      </w:r>
      <w:proofErr w:type="spellEnd"/>
      <w:r>
        <w:t xml:space="preserve"> 13. In </w:t>
      </w:r>
      <w:r>
        <w:rPr>
          <w:i/>
        </w:rPr>
        <w:t xml:space="preserve">ISG Retail Ltd v </w:t>
      </w:r>
      <w:proofErr w:type="spellStart"/>
      <w:r>
        <w:rPr>
          <w:i/>
        </w:rPr>
        <w:t>Castletch</w:t>
      </w:r>
      <w:proofErr w:type="spellEnd"/>
      <w:r>
        <w:rPr>
          <w:i/>
        </w:rPr>
        <w:t xml:space="preserve"> Construction Ltd</w:t>
      </w:r>
      <w:r>
        <w:t xml:space="preserve"> [2015] EWHC 1443 (TCC) such a claim for the recovery of money was characterized as arising under contract. Such characterization is unnecessary and suggests a failure to divorce unjust enrichment from its quasi-contractual origins.</w:t>
      </w:r>
    </w:p>
    <w:p w:rsidR="00BE40B4" w:rsidRDefault="00BE40B4">
      <w:pPr>
        <w:pStyle w:val="FootnoteText"/>
      </w:pPr>
    </w:p>
  </w:footnote>
  <w:footnote w:id="22">
    <w:p w:rsidR="00BE40B4" w:rsidRPr="002D78EB" w:rsidRDefault="00BE40B4" w:rsidP="00200630">
      <w:pPr>
        <w:pStyle w:val="FootnoteText"/>
      </w:pPr>
      <w:r w:rsidRPr="002D78EB">
        <w:rPr>
          <w:rStyle w:val="FootnoteReference"/>
        </w:rPr>
        <w:footnoteRef/>
      </w:r>
      <w:r w:rsidRPr="002D78EB">
        <w:t xml:space="preserve"> [2004] EWHC 2619 (</w:t>
      </w:r>
      <w:proofErr w:type="spellStart"/>
      <w:r w:rsidRPr="002D78EB">
        <w:t>Comm</w:t>
      </w:r>
      <w:proofErr w:type="spellEnd"/>
      <w:r w:rsidRPr="002D78EB">
        <w:t>).</w:t>
      </w:r>
    </w:p>
    <w:p w:rsidR="00BE40B4" w:rsidRPr="002D78EB" w:rsidRDefault="00BE40B4" w:rsidP="00200630">
      <w:pPr>
        <w:pStyle w:val="FootnoteText"/>
      </w:pPr>
    </w:p>
  </w:footnote>
  <w:footnote w:id="23">
    <w:p w:rsidR="00BE40B4" w:rsidRPr="002D78EB" w:rsidRDefault="00BE40B4" w:rsidP="00200630">
      <w:pPr>
        <w:pStyle w:val="FootnoteText"/>
        <w:spacing w:line="480" w:lineRule="auto"/>
      </w:pPr>
      <w:r w:rsidRPr="002D78EB">
        <w:rPr>
          <w:rStyle w:val="FootnoteReference"/>
        </w:rPr>
        <w:footnoteRef/>
      </w:r>
      <w:r w:rsidRPr="002D78EB">
        <w:t xml:space="preserve"> See </w:t>
      </w:r>
      <w:r w:rsidRPr="002D78EB">
        <w:rPr>
          <w:i/>
          <w:iCs/>
        </w:rPr>
        <w:t>Johnson v</w:t>
      </w:r>
      <w:r w:rsidRPr="002D78EB">
        <w:t xml:space="preserve"> </w:t>
      </w:r>
      <w:r w:rsidRPr="002D78EB">
        <w:rPr>
          <w:i/>
          <w:iCs/>
        </w:rPr>
        <w:t>Agnew</w:t>
      </w:r>
      <w:r>
        <w:t xml:space="preserve"> [1980] AC 367</w:t>
      </w:r>
      <w:r w:rsidRPr="002D78EB">
        <w:t>.</w:t>
      </w:r>
    </w:p>
  </w:footnote>
  <w:footnote w:id="24">
    <w:p w:rsidR="00BE40B4" w:rsidRPr="002D78EB" w:rsidRDefault="00BE40B4" w:rsidP="00200630">
      <w:pPr>
        <w:pStyle w:val="FootnoteText"/>
      </w:pPr>
      <w:r w:rsidRPr="002D78EB">
        <w:rPr>
          <w:rStyle w:val="FootnoteReference"/>
        </w:rPr>
        <w:footnoteRef/>
      </w:r>
      <w:r w:rsidRPr="002D78EB">
        <w:t xml:space="preserve"> </w:t>
      </w:r>
      <w:r>
        <w:t>[2004] EWHC 2619 (</w:t>
      </w:r>
      <w:proofErr w:type="spellStart"/>
      <w:r>
        <w:t>Comm</w:t>
      </w:r>
      <w:proofErr w:type="spellEnd"/>
      <w:r>
        <w:t>)</w:t>
      </w:r>
      <w:r w:rsidRPr="002D78EB">
        <w:rPr>
          <w:iCs/>
        </w:rPr>
        <w:t>,</w:t>
      </w:r>
      <w:r w:rsidRPr="002D78EB">
        <w:t xml:space="preserve"> [25] (Cooke J).</w:t>
      </w:r>
    </w:p>
  </w:footnote>
  <w:footnote w:id="25">
    <w:p w:rsidR="00BE40B4" w:rsidRPr="002D78EB" w:rsidRDefault="00BE40B4" w:rsidP="00200630">
      <w:pPr>
        <w:pStyle w:val="FootnoteText"/>
      </w:pPr>
    </w:p>
    <w:p w:rsidR="00BE40B4" w:rsidRPr="002D78EB" w:rsidRDefault="00BE40B4" w:rsidP="00200630">
      <w:pPr>
        <w:pStyle w:val="FootnoteText"/>
        <w:rPr>
          <w:i/>
          <w:iCs/>
        </w:rPr>
      </w:pPr>
      <w:r w:rsidRPr="002D78EB">
        <w:rPr>
          <w:rStyle w:val="FootnoteReference"/>
        </w:rPr>
        <w:footnoteRef/>
      </w:r>
      <w:r w:rsidRPr="002D78EB">
        <w:t xml:space="preserve"> Ibid.</w:t>
      </w:r>
    </w:p>
    <w:p w:rsidR="00BE40B4" w:rsidRPr="002D78EB" w:rsidRDefault="00BE40B4" w:rsidP="00200630">
      <w:pPr>
        <w:pStyle w:val="FootnoteText"/>
        <w:rPr>
          <w:i/>
          <w:iCs/>
        </w:rPr>
      </w:pPr>
    </w:p>
  </w:footnote>
  <w:footnote w:id="26">
    <w:p w:rsidR="00BE40B4" w:rsidRPr="002D78EB" w:rsidRDefault="00BE40B4" w:rsidP="00200630">
      <w:pPr>
        <w:pStyle w:val="FootnoteText"/>
        <w:spacing w:line="480" w:lineRule="auto"/>
      </w:pPr>
      <w:r w:rsidRPr="002D78EB">
        <w:rPr>
          <w:rStyle w:val="FootnoteReference"/>
        </w:rPr>
        <w:footnoteRef/>
      </w:r>
      <w:r w:rsidRPr="002D78EB">
        <w:t xml:space="preserve"> Ibid, [23].</w:t>
      </w:r>
    </w:p>
  </w:footnote>
  <w:footnote w:id="27">
    <w:p w:rsidR="00BE40B4" w:rsidRDefault="00BE40B4" w:rsidP="001F20C3">
      <w:pPr>
        <w:pStyle w:val="FootnoteText"/>
      </w:pPr>
      <w:r>
        <w:rPr>
          <w:rStyle w:val="FootnoteReference"/>
        </w:rPr>
        <w:footnoteRef/>
      </w:r>
      <w:r>
        <w:t xml:space="preserve"> </w:t>
      </w:r>
      <w:r w:rsidRPr="001F20C3">
        <w:t>[2013] EWHC 4104 (</w:t>
      </w:r>
      <w:proofErr w:type="spellStart"/>
      <w:r w:rsidRPr="001F20C3">
        <w:t>Ch</w:t>
      </w:r>
      <w:proofErr w:type="spellEnd"/>
      <w:r w:rsidRPr="001F20C3">
        <w:t>).</w:t>
      </w:r>
      <w:r>
        <w:t xml:space="preserve"> </w:t>
      </w:r>
    </w:p>
  </w:footnote>
  <w:footnote w:id="28">
    <w:p w:rsidR="00BE40B4" w:rsidRDefault="00BE40B4" w:rsidP="00200630">
      <w:pPr>
        <w:pStyle w:val="FootnoteText"/>
      </w:pPr>
    </w:p>
    <w:p w:rsidR="00BE40B4" w:rsidRPr="002D78EB" w:rsidRDefault="00BE40B4" w:rsidP="00200630">
      <w:pPr>
        <w:pStyle w:val="FootnoteText"/>
        <w:rPr>
          <w:lang w:val="en-GB"/>
        </w:rPr>
      </w:pPr>
      <w:r w:rsidRPr="002D78EB">
        <w:rPr>
          <w:rStyle w:val="FootnoteReference"/>
        </w:rPr>
        <w:footnoteRef/>
      </w:r>
      <w:r w:rsidRPr="002D78EB">
        <w:t xml:space="preserve"> </w:t>
      </w:r>
      <w:r w:rsidRPr="002D78EB">
        <w:rPr>
          <w:lang w:val="en-GB"/>
        </w:rPr>
        <w:t>[2009] VSCA 141.</w:t>
      </w:r>
    </w:p>
    <w:p w:rsidR="00BE40B4" w:rsidRPr="002D78EB" w:rsidRDefault="00BE40B4" w:rsidP="00200630">
      <w:pPr>
        <w:pStyle w:val="FootnoteText"/>
        <w:rPr>
          <w:lang w:val="en-GB"/>
        </w:rPr>
      </w:pPr>
    </w:p>
  </w:footnote>
  <w:footnote w:id="29">
    <w:p w:rsidR="00BE40B4" w:rsidRPr="002D78EB" w:rsidRDefault="00BE40B4" w:rsidP="00200630">
      <w:pPr>
        <w:pStyle w:val="FootnoteText"/>
        <w:rPr>
          <w:lang w:val="en-GB"/>
        </w:rPr>
      </w:pPr>
      <w:r w:rsidRPr="002D78EB">
        <w:rPr>
          <w:rStyle w:val="FootnoteReference"/>
        </w:rPr>
        <w:footnoteRef/>
      </w:r>
      <w:r w:rsidRPr="002D78EB">
        <w:t xml:space="preserve"> </w:t>
      </w:r>
      <w:proofErr w:type="spellStart"/>
      <w:r w:rsidRPr="002D78EB">
        <w:rPr>
          <w:i/>
          <w:iCs/>
        </w:rPr>
        <w:t>Planché</w:t>
      </w:r>
      <w:proofErr w:type="spellEnd"/>
      <w:r w:rsidRPr="002D78EB">
        <w:rPr>
          <w:i/>
        </w:rPr>
        <w:t xml:space="preserve"> v Colburn</w:t>
      </w:r>
      <w:r w:rsidRPr="002D78EB">
        <w:t xml:space="preserve"> (1831) 8 Bing 14; </w:t>
      </w:r>
      <w:proofErr w:type="spellStart"/>
      <w:r w:rsidRPr="002D78EB">
        <w:rPr>
          <w:i/>
        </w:rPr>
        <w:t>Lodder</w:t>
      </w:r>
      <w:proofErr w:type="spellEnd"/>
      <w:r w:rsidRPr="002D78EB">
        <w:rPr>
          <w:i/>
        </w:rPr>
        <w:t xml:space="preserve"> v </w:t>
      </w:r>
      <w:proofErr w:type="spellStart"/>
      <w:r w:rsidRPr="002D78EB">
        <w:rPr>
          <w:i/>
        </w:rPr>
        <w:t>Slowey</w:t>
      </w:r>
      <w:proofErr w:type="spellEnd"/>
      <w:r w:rsidRPr="002D78EB">
        <w:t xml:space="preserve"> [1904] AC 442; </w:t>
      </w:r>
      <w:r w:rsidRPr="002D78EB">
        <w:rPr>
          <w:i/>
        </w:rPr>
        <w:t xml:space="preserve">Brooks Robinson Pty Ltd v </w:t>
      </w:r>
      <w:proofErr w:type="spellStart"/>
      <w:r w:rsidRPr="002D78EB">
        <w:rPr>
          <w:i/>
        </w:rPr>
        <w:t>Rothfield</w:t>
      </w:r>
      <w:proofErr w:type="spellEnd"/>
      <w:r w:rsidRPr="002D78EB">
        <w:t xml:space="preserve"> [1951] VLR 405; </w:t>
      </w:r>
      <w:proofErr w:type="spellStart"/>
      <w:r w:rsidRPr="002D78EB">
        <w:rPr>
          <w:i/>
        </w:rPr>
        <w:t>Renard</w:t>
      </w:r>
      <w:proofErr w:type="spellEnd"/>
      <w:r w:rsidRPr="002D78EB">
        <w:rPr>
          <w:i/>
        </w:rPr>
        <w:t xml:space="preserve"> Constructions (ME) Pty Ltd v Minister for Public Works</w:t>
      </w:r>
      <w:r w:rsidRPr="002D78EB">
        <w:t xml:space="preserve"> (1992) 26 NSWLR 234; </w:t>
      </w:r>
      <w:proofErr w:type="spellStart"/>
      <w:r w:rsidRPr="002D78EB">
        <w:rPr>
          <w:i/>
        </w:rPr>
        <w:t>Iezzi</w:t>
      </w:r>
      <w:proofErr w:type="spellEnd"/>
      <w:r w:rsidRPr="002D78EB">
        <w:rPr>
          <w:i/>
        </w:rPr>
        <w:t xml:space="preserve"> Constructions Pty Ltd v Watkins Pacific (</w:t>
      </w:r>
      <w:proofErr w:type="spellStart"/>
      <w:r w:rsidRPr="002D78EB">
        <w:rPr>
          <w:i/>
        </w:rPr>
        <w:t>Qld</w:t>
      </w:r>
      <w:proofErr w:type="spellEnd"/>
      <w:r w:rsidRPr="002D78EB">
        <w:rPr>
          <w:i/>
        </w:rPr>
        <w:t>) Pty Ltd</w:t>
      </w:r>
      <w:r w:rsidRPr="002D78EB">
        <w:t xml:space="preserve"> [1995] 2 </w:t>
      </w:r>
      <w:proofErr w:type="spellStart"/>
      <w:r w:rsidRPr="002D78EB">
        <w:t>Qd</w:t>
      </w:r>
      <w:proofErr w:type="spellEnd"/>
      <w:r w:rsidRPr="002D78EB">
        <w:t xml:space="preserve"> R 350.</w:t>
      </w:r>
    </w:p>
    <w:p w:rsidR="00BE40B4" w:rsidRPr="002D78EB" w:rsidRDefault="00BE40B4" w:rsidP="00200630">
      <w:pPr>
        <w:pStyle w:val="FootnoteText"/>
        <w:rPr>
          <w:lang w:val="en-GB"/>
        </w:rPr>
      </w:pPr>
    </w:p>
  </w:footnote>
  <w:footnote w:id="30">
    <w:p w:rsidR="00BE40B4" w:rsidRPr="002D78EB" w:rsidRDefault="00BE40B4" w:rsidP="00200630">
      <w:pPr>
        <w:pStyle w:val="FootnoteText"/>
        <w:rPr>
          <w:lang w:val="en-GB"/>
        </w:rPr>
      </w:pPr>
      <w:r w:rsidRPr="002D78EB">
        <w:rPr>
          <w:rStyle w:val="FootnoteReference"/>
        </w:rPr>
        <w:footnoteRef/>
      </w:r>
      <w:r w:rsidRPr="002D78EB">
        <w:t xml:space="preserve">  </w:t>
      </w:r>
      <w:r w:rsidRPr="002D78EB">
        <w:rPr>
          <w:lang w:val="en-GB"/>
        </w:rPr>
        <w:t>[2009] VSCA 141</w:t>
      </w:r>
      <w:r>
        <w:rPr>
          <w:lang w:val="en-GB"/>
        </w:rPr>
        <w:t>,</w:t>
      </w:r>
      <w:r w:rsidRPr="002D78EB">
        <w:t xml:space="preserve"> [11]. See especially </w:t>
      </w:r>
      <w:r w:rsidRPr="002D78EB">
        <w:rPr>
          <w:i/>
        </w:rPr>
        <w:t>GEC Marconi Systems Pty Ltd v BHP Information Technology Pty Ltd</w:t>
      </w:r>
      <w:r w:rsidRPr="002D78EB">
        <w:t xml:space="preserve"> [2003] FCA 50, [651]-[659] (Finn J).</w:t>
      </w:r>
    </w:p>
    <w:p w:rsidR="00BE40B4" w:rsidRPr="002D78EB" w:rsidRDefault="00BE40B4" w:rsidP="00200630">
      <w:pPr>
        <w:pStyle w:val="FootnoteText"/>
        <w:rPr>
          <w:lang w:val="en-GB"/>
        </w:rPr>
      </w:pPr>
    </w:p>
  </w:footnote>
  <w:footnote w:id="31">
    <w:p w:rsidR="00BE40B4" w:rsidRPr="002D78EB" w:rsidRDefault="00BE40B4" w:rsidP="00200630">
      <w:pPr>
        <w:pStyle w:val="FootnoteText"/>
        <w:rPr>
          <w:lang w:val="en-GB"/>
        </w:rPr>
      </w:pPr>
      <w:r w:rsidRPr="002D78EB">
        <w:rPr>
          <w:rStyle w:val="FootnoteReference"/>
        </w:rPr>
        <w:footnoteRef/>
      </w:r>
      <w:r w:rsidRPr="002D78EB">
        <w:t xml:space="preserve"> </w:t>
      </w:r>
      <w:proofErr w:type="spellStart"/>
      <w:r w:rsidRPr="002D78EB">
        <w:rPr>
          <w:i/>
          <w:lang w:val="en-GB"/>
        </w:rPr>
        <w:t>Pavey</w:t>
      </w:r>
      <w:proofErr w:type="spellEnd"/>
      <w:r w:rsidRPr="002D78EB">
        <w:rPr>
          <w:i/>
          <w:lang w:val="en-GB"/>
        </w:rPr>
        <w:t xml:space="preserve"> and Matthews Proprietary Ltd v Paul</w:t>
      </w:r>
      <w:r w:rsidRPr="002D78EB">
        <w:rPr>
          <w:lang w:val="en-GB"/>
        </w:rPr>
        <w:t xml:space="preserve"> (1987) 162 CLR 221, 256.</w:t>
      </w:r>
    </w:p>
    <w:p w:rsidR="00BE40B4" w:rsidRPr="002D78EB" w:rsidRDefault="00BE40B4" w:rsidP="00200630">
      <w:pPr>
        <w:pStyle w:val="FootnoteText"/>
        <w:rPr>
          <w:lang w:val="en-GB"/>
        </w:rPr>
      </w:pPr>
    </w:p>
  </w:footnote>
  <w:footnote w:id="32">
    <w:p w:rsidR="00BE40B4" w:rsidRDefault="00BE40B4">
      <w:pPr>
        <w:pStyle w:val="FootnoteText"/>
      </w:pPr>
      <w:r>
        <w:rPr>
          <w:rStyle w:val="FootnoteReference"/>
        </w:rPr>
        <w:footnoteRef/>
      </w:r>
      <w:r>
        <w:t xml:space="preserve"> </w:t>
      </w:r>
      <w:r w:rsidRPr="001F20C3">
        <w:t>[2009] VSCA 141 at [11].</w:t>
      </w:r>
      <w:r w:rsidRPr="002D78EB">
        <w:rPr>
          <w:sz w:val="24"/>
          <w:szCs w:val="24"/>
        </w:rPr>
        <w:t xml:space="preserve"> </w:t>
      </w:r>
      <w:r w:rsidRPr="001F20C3">
        <w:t xml:space="preserve">See also </w:t>
      </w:r>
      <w:proofErr w:type="spellStart"/>
      <w:r w:rsidRPr="001F20C3">
        <w:rPr>
          <w:i/>
          <w:iCs/>
        </w:rPr>
        <w:t>Elek</w:t>
      </w:r>
      <w:proofErr w:type="spellEnd"/>
      <w:r w:rsidRPr="001F20C3">
        <w:rPr>
          <w:i/>
          <w:iCs/>
        </w:rPr>
        <w:t xml:space="preserve"> v Bar-</w:t>
      </w:r>
      <w:proofErr w:type="spellStart"/>
      <w:r w:rsidRPr="001F20C3">
        <w:rPr>
          <w:i/>
          <w:iCs/>
        </w:rPr>
        <w:t>Tur</w:t>
      </w:r>
      <w:proofErr w:type="spellEnd"/>
      <w:r w:rsidRPr="001F20C3">
        <w:rPr>
          <w:i/>
          <w:iCs/>
        </w:rPr>
        <w:t xml:space="preserve"> </w:t>
      </w:r>
      <w:r w:rsidRPr="001F20C3">
        <w:t>[2013] EWHC 207 (</w:t>
      </w:r>
      <w:proofErr w:type="spellStart"/>
      <w:r w:rsidRPr="001F20C3">
        <w:t>Ch</w:t>
      </w:r>
      <w:proofErr w:type="spellEnd"/>
      <w:r w:rsidRPr="001F20C3">
        <w:t>), [2013] 2 E</w:t>
      </w:r>
      <w:r>
        <w:t>GLR 159,</w:t>
      </w:r>
      <w:r w:rsidRPr="001F20C3">
        <w:t xml:space="preserve"> [12], David Donaldson QC.</w:t>
      </w:r>
    </w:p>
    <w:p w:rsidR="00BE40B4" w:rsidRDefault="00BE40B4">
      <w:pPr>
        <w:pStyle w:val="FootnoteText"/>
      </w:pPr>
    </w:p>
  </w:footnote>
  <w:footnote w:id="33">
    <w:p w:rsidR="00BE40B4" w:rsidRPr="002D78EB" w:rsidRDefault="00BE40B4" w:rsidP="00200630">
      <w:pPr>
        <w:pStyle w:val="FootnoteText"/>
        <w:rPr>
          <w:lang w:val="en-GB"/>
        </w:rPr>
      </w:pPr>
      <w:r w:rsidRPr="002D78EB">
        <w:rPr>
          <w:rStyle w:val="FootnoteReference"/>
        </w:rPr>
        <w:footnoteRef/>
      </w:r>
      <w:r w:rsidRPr="002D78EB">
        <w:t xml:space="preserve"> </w:t>
      </w:r>
      <w:r w:rsidRPr="002D78EB">
        <w:rPr>
          <w:lang w:val="en-GB"/>
        </w:rPr>
        <w:t>11</w:t>
      </w:r>
      <w:r w:rsidRPr="002D78EB">
        <w:rPr>
          <w:vertAlign w:val="superscript"/>
          <w:lang w:val="en-GB"/>
        </w:rPr>
        <w:t>th</w:t>
      </w:r>
      <w:r w:rsidRPr="002D78EB">
        <w:rPr>
          <w:lang w:val="en-GB"/>
        </w:rPr>
        <w:t xml:space="preserve"> December 2009.</w:t>
      </w:r>
    </w:p>
    <w:p w:rsidR="00BE40B4" w:rsidRPr="002D78EB" w:rsidRDefault="00BE40B4" w:rsidP="00200630">
      <w:pPr>
        <w:pStyle w:val="FootnoteText"/>
        <w:rPr>
          <w:lang w:val="en-GB"/>
        </w:rPr>
      </w:pPr>
    </w:p>
  </w:footnote>
  <w:footnote w:id="34">
    <w:p w:rsidR="00BE40B4" w:rsidRPr="002D78EB" w:rsidRDefault="00BE40B4" w:rsidP="00200630">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w:t>
      </w:r>
      <w:r>
        <w:rPr>
          <w:rFonts w:ascii="Times New Roman" w:hAnsi="Times New Roman" w:cs="Times New Roman"/>
          <w:sz w:val="20"/>
          <w:szCs w:val="20"/>
        </w:rPr>
        <w:t xml:space="preserve">(1853) 8 </w:t>
      </w:r>
      <w:proofErr w:type="spellStart"/>
      <w:r>
        <w:rPr>
          <w:rFonts w:ascii="Times New Roman" w:hAnsi="Times New Roman" w:cs="Times New Roman"/>
          <w:sz w:val="20"/>
          <w:szCs w:val="20"/>
        </w:rPr>
        <w:t>Exch</w:t>
      </w:r>
      <w:proofErr w:type="spellEnd"/>
      <w:r w:rsidRPr="002D78EB">
        <w:rPr>
          <w:rFonts w:ascii="Times New Roman" w:hAnsi="Times New Roman" w:cs="Times New Roman"/>
          <w:sz w:val="20"/>
          <w:szCs w:val="20"/>
        </w:rPr>
        <w:t xml:space="preserve"> 822, 824. See also </w:t>
      </w:r>
      <w:r w:rsidRPr="002D78EB">
        <w:rPr>
          <w:rFonts w:ascii="Times New Roman" w:hAnsi="Times New Roman" w:cs="Times New Roman"/>
          <w:i/>
          <w:iCs/>
          <w:sz w:val="20"/>
          <w:szCs w:val="20"/>
        </w:rPr>
        <w:t>(Eastbourne) Ltd v Cooper</w:t>
      </w:r>
      <w:r w:rsidRPr="002D78EB">
        <w:rPr>
          <w:rFonts w:ascii="Times New Roman" w:hAnsi="Times New Roman" w:cs="Times New Roman"/>
          <w:sz w:val="20"/>
          <w:szCs w:val="20"/>
        </w:rPr>
        <w:t xml:space="preserve"> [1941] AC 108, 140–141 (Lord Wright). </w:t>
      </w:r>
    </w:p>
  </w:footnote>
  <w:footnote w:id="35">
    <w:p w:rsidR="00BE40B4" w:rsidRPr="002D78EB" w:rsidRDefault="00BE40B4" w:rsidP="00200630">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xml:space="preserve"> (1856) 1 CB (NS) 296. </w:t>
      </w:r>
    </w:p>
  </w:footnote>
  <w:footnote w:id="36">
    <w:p w:rsidR="00BE40B4" w:rsidRDefault="00BE40B4" w:rsidP="00C236AF">
      <w:pPr>
        <w:pStyle w:val="FootnoteText"/>
      </w:pPr>
      <w:r>
        <w:rPr>
          <w:rStyle w:val="FootnoteReference"/>
        </w:rPr>
        <w:footnoteRef/>
      </w:r>
      <w:r>
        <w:t xml:space="preserve"> </w:t>
      </w:r>
      <w:r w:rsidRPr="001F20C3">
        <w:t>[2013] EWHC 207 (</w:t>
      </w:r>
      <w:proofErr w:type="spellStart"/>
      <w:r w:rsidRPr="001F20C3">
        <w:t>Ch</w:t>
      </w:r>
      <w:proofErr w:type="spellEnd"/>
      <w:r w:rsidRPr="001F20C3">
        <w:t>), [2013] 2 EGLR 159.</w:t>
      </w:r>
    </w:p>
  </w:footnote>
  <w:footnote w:id="37">
    <w:p w:rsidR="00BE40B4" w:rsidRDefault="00BE40B4" w:rsidP="00C236AF">
      <w:pPr>
        <w:pStyle w:val="FootnoteText"/>
      </w:pPr>
    </w:p>
    <w:p w:rsidR="00BE40B4" w:rsidRDefault="00BE40B4" w:rsidP="00C236AF">
      <w:pPr>
        <w:pStyle w:val="FootnoteText"/>
      </w:pPr>
      <w:r>
        <w:rPr>
          <w:rStyle w:val="FootnoteReference"/>
        </w:rPr>
        <w:footnoteRef/>
      </w:r>
      <w:r>
        <w:t xml:space="preserve"> </w:t>
      </w:r>
      <w:r w:rsidRPr="001F20C3">
        <w:t>[2004] EWHC 2619 (</w:t>
      </w:r>
      <w:proofErr w:type="spellStart"/>
      <w:r w:rsidRPr="001F20C3">
        <w:t>Comm</w:t>
      </w:r>
      <w:proofErr w:type="spellEnd"/>
      <w:r w:rsidRPr="001F20C3">
        <w:t>).</w:t>
      </w:r>
    </w:p>
  </w:footnote>
  <w:footnote w:id="38">
    <w:p w:rsidR="00BE40B4" w:rsidRDefault="00BE40B4" w:rsidP="00200630">
      <w:pPr>
        <w:widowControl w:val="0"/>
        <w:autoSpaceDE w:val="0"/>
        <w:autoSpaceDN w:val="0"/>
        <w:adjustRightInd w:val="0"/>
        <w:rPr>
          <w:rStyle w:val="brk"/>
          <w:rFonts w:ascii="Times New Roman" w:hAnsi="Times New Roman" w:cs="Times New Roman"/>
          <w:sz w:val="20"/>
          <w:szCs w:val="20"/>
        </w:rPr>
      </w:pPr>
    </w:p>
    <w:p w:rsidR="00BE40B4" w:rsidRPr="002D78EB" w:rsidRDefault="00BE40B4" w:rsidP="00200630">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w:t>
      </w:r>
      <w:r w:rsidRPr="002D78EB">
        <w:rPr>
          <w:rFonts w:ascii="Times New Roman" w:hAnsi="Times New Roman" w:cs="Times New Roman"/>
          <w:i/>
          <w:iCs/>
          <w:sz w:val="20"/>
          <w:szCs w:val="20"/>
        </w:rPr>
        <w:t>Taylor v Laird</w:t>
      </w:r>
      <w:r w:rsidRPr="002D78EB">
        <w:rPr>
          <w:rFonts w:ascii="Times New Roman" w:hAnsi="Times New Roman" w:cs="Times New Roman"/>
          <w:sz w:val="20"/>
          <w:szCs w:val="20"/>
        </w:rPr>
        <w:t xml:space="preserve"> (1856) 25 LJ Ex 328.</w:t>
      </w:r>
    </w:p>
  </w:footnote>
  <w:footnote w:id="39">
    <w:p w:rsidR="00BE40B4" w:rsidRPr="002D78EB" w:rsidRDefault="00BE40B4" w:rsidP="00200630">
      <w:pPr>
        <w:pStyle w:val="FootnoteText"/>
      </w:pPr>
      <w:r w:rsidRPr="002D78EB">
        <w:rPr>
          <w:rStyle w:val="FootnoteReference"/>
        </w:rPr>
        <w:footnoteRef/>
      </w:r>
      <w:r w:rsidRPr="002D78EB">
        <w:t xml:space="preserve"> </w:t>
      </w:r>
      <w:r w:rsidRPr="002D78EB">
        <w:rPr>
          <w:i/>
          <w:iCs/>
        </w:rPr>
        <w:t xml:space="preserve">Item Software v </w:t>
      </w:r>
      <w:proofErr w:type="spellStart"/>
      <w:r w:rsidRPr="002D78EB">
        <w:rPr>
          <w:i/>
          <w:iCs/>
        </w:rPr>
        <w:t>Fassihi</w:t>
      </w:r>
      <w:proofErr w:type="spellEnd"/>
      <w:r w:rsidRPr="002D78EB">
        <w:rPr>
          <w:i/>
          <w:iCs/>
          <w:vanish/>
        </w:rPr>
        <w:t>&lt;r&gt;</w:t>
      </w:r>
      <w:r w:rsidRPr="002D78EB">
        <w:t xml:space="preserve"> [2004] EWCA </w:t>
      </w:r>
      <w:proofErr w:type="spellStart"/>
      <w:r w:rsidRPr="002D78EB">
        <w:t>Civ</w:t>
      </w:r>
      <w:proofErr w:type="spellEnd"/>
      <w:r w:rsidRPr="002D78EB">
        <w:t xml:space="preserve"> 1244; [2005] ICR 450.</w:t>
      </w:r>
    </w:p>
    <w:p w:rsidR="00BE40B4" w:rsidRPr="002D78EB" w:rsidRDefault="00BE40B4" w:rsidP="00200630">
      <w:pPr>
        <w:pStyle w:val="FootnoteText"/>
        <w:rPr>
          <w:lang w:val="en-GB"/>
        </w:rPr>
      </w:pPr>
    </w:p>
  </w:footnote>
  <w:footnote w:id="40">
    <w:p w:rsidR="00BE40B4" w:rsidRPr="002D78EB" w:rsidRDefault="00BE40B4" w:rsidP="00200630">
      <w:pPr>
        <w:pStyle w:val="FootnoteText"/>
      </w:pPr>
      <w:r w:rsidRPr="002D78EB">
        <w:rPr>
          <w:rStyle w:val="FootnoteReference"/>
        </w:rPr>
        <w:footnoteRef/>
      </w:r>
      <w:r>
        <w:t xml:space="preserve"> </w:t>
      </w:r>
      <w:r w:rsidRPr="002D78EB">
        <w:t>[1987] AC 539.</w:t>
      </w:r>
    </w:p>
  </w:footnote>
  <w:footnote w:id="41">
    <w:p w:rsidR="00BE40B4" w:rsidRPr="002D78EB" w:rsidRDefault="00BE40B4" w:rsidP="00200630">
      <w:pPr>
        <w:pStyle w:val="FootnoteText"/>
      </w:pPr>
    </w:p>
    <w:p w:rsidR="00BE40B4" w:rsidRDefault="00BE40B4" w:rsidP="00200630">
      <w:pPr>
        <w:pStyle w:val="FootnoteText"/>
      </w:pPr>
      <w:r w:rsidRPr="002D78EB">
        <w:rPr>
          <w:rStyle w:val="FootnoteReference"/>
        </w:rPr>
        <w:footnoteRef/>
      </w:r>
      <w:r>
        <w:t xml:space="preserve"> </w:t>
      </w:r>
      <w:r w:rsidRPr="002D78EB">
        <w:rPr>
          <w:i/>
        </w:rPr>
        <w:t>Ibid</w:t>
      </w:r>
      <w:r w:rsidRPr="002D78EB">
        <w:t xml:space="preserve">, 553 (Lord </w:t>
      </w:r>
      <w:proofErr w:type="spellStart"/>
      <w:r w:rsidRPr="002D78EB">
        <w:t>Brightman</w:t>
      </w:r>
      <w:proofErr w:type="spellEnd"/>
      <w:r w:rsidRPr="002D78EB">
        <w:t xml:space="preserve">), 661 (Lord </w:t>
      </w:r>
      <w:proofErr w:type="spellStart"/>
      <w:r w:rsidRPr="002D78EB">
        <w:t>Templeman</w:t>
      </w:r>
      <w:proofErr w:type="spellEnd"/>
      <w:r w:rsidRPr="002D78EB">
        <w:t>).</w:t>
      </w:r>
    </w:p>
    <w:p w:rsidR="00BE40B4" w:rsidRPr="002D78EB" w:rsidRDefault="00BE40B4" w:rsidP="00200630">
      <w:pPr>
        <w:pStyle w:val="FootnoteText"/>
      </w:pPr>
    </w:p>
  </w:footnote>
  <w:footnote w:id="42">
    <w:p w:rsidR="00BE40B4" w:rsidRDefault="00BE40B4" w:rsidP="00C236AF">
      <w:pPr>
        <w:pStyle w:val="FootnoteText"/>
        <w:rPr>
          <w:lang w:val="en-AU"/>
        </w:rPr>
      </w:pPr>
      <w:r>
        <w:rPr>
          <w:rStyle w:val="FootnoteReference"/>
        </w:rPr>
        <w:footnoteRef/>
      </w:r>
      <w:r>
        <w:t xml:space="preserve"> [2013] UKSC 50, [2014] AC 938.</w:t>
      </w:r>
    </w:p>
    <w:p w:rsidR="00BE40B4" w:rsidRPr="00EF7ABE" w:rsidRDefault="00BE40B4" w:rsidP="00C236AF">
      <w:pPr>
        <w:pStyle w:val="FootnoteText"/>
        <w:rPr>
          <w:lang w:val="en-AU"/>
        </w:rPr>
      </w:pPr>
    </w:p>
  </w:footnote>
  <w:footnote w:id="43">
    <w:p w:rsidR="00BE40B4" w:rsidRPr="002D78EB" w:rsidRDefault="00BE40B4" w:rsidP="0082184F">
      <w:pPr>
        <w:pStyle w:val="FootnoteText"/>
        <w:rPr>
          <w:color w:val="000000"/>
          <w:position w:val="6"/>
        </w:rPr>
      </w:pPr>
      <w:r w:rsidRPr="00EF7ABE">
        <w:rPr>
          <w:rStyle w:val="FootnoteReference"/>
          <w:bCs/>
          <w:color w:val="000000"/>
          <w:position w:val="6"/>
        </w:rPr>
        <w:footnoteRef/>
      </w:r>
      <w:r w:rsidRPr="00EF7ABE">
        <w:rPr>
          <w:rStyle w:val="FootnoteReference"/>
          <w:bCs/>
          <w:color w:val="000000"/>
          <w:position w:val="6"/>
        </w:rPr>
        <w:t xml:space="preserve"> </w:t>
      </w:r>
      <w:proofErr w:type="spellStart"/>
      <w:r w:rsidRPr="002D78EB">
        <w:rPr>
          <w:i/>
        </w:rPr>
        <w:t>Banque</w:t>
      </w:r>
      <w:proofErr w:type="spellEnd"/>
      <w:r w:rsidRPr="002D78EB">
        <w:rPr>
          <w:i/>
        </w:rPr>
        <w:t xml:space="preserve"> </w:t>
      </w:r>
      <w:proofErr w:type="spellStart"/>
      <w:r w:rsidRPr="002D78EB">
        <w:rPr>
          <w:i/>
        </w:rPr>
        <w:t>Financière</w:t>
      </w:r>
      <w:proofErr w:type="spellEnd"/>
      <w:r w:rsidRPr="002D78EB">
        <w:rPr>
          <w:i/>
        </w:rPr>
        <w:t xml:space="preserve"> de la </w:t>
      </w:r>
      <w:proofErr w:type="spellStart"/>
      <w:r w:rsidRPr="002D78EB">
        <w:rPr>
          <w:i/>
        </w:rPr>
        <w:t>Cité</w:t>
      </w:r>
      <w:proofErr w:type="spellEnd"/>
      <w:r w:rsidRPr="002D78EB">
        <w:rPr>
          <w:i/>
        </w:rPr>
        <w:t xml:space="preserve"> v</w:t>
      </w:r>
      <w:r w:rsidRPr="002D78EB">
        <w:t xml:space="preserve"> </w:t>
      </w:r>
      <w:proofErr w:type="spellStart"/>
      <w:r w:rsidRPr="002D78EB">
        <w:rPr>
          <w:i/>
        </w:rPr>
        <w:t>Parc</w:t>
      </w:r>
      <w:proofErr w:type="spellEnd"/>
      <w:r w:rsidRPr="002D78EB">
        <w:rPr>
          <w:i/>
        </w:rPr>
        <w:t xml:space="preserve"> (Battersea) Ltd</w:t>
      </w:r>
      <w:r w:rsidRPr="002D78EB">
        <w:t xml:space="preserve"> [1999] 1 AC 221, 227 (Lord </w:t>
      </w:r>
      <w:proofErr w:type="spellStart"/>
      <w:r w:rsidRPr="002D78EB">
        <w:t>Steyn</w:t>
      </w:r>
      <w:proofErr w:type="spellEnd"/>
      <w:r w:rsidRPr="002D78EB">
        <w:t>).</w:t>
      </w:r>
      <w:r w:rsidRPr="00884015">
        <w:rPr>
          <w:i/>
        </w:rPr>
        <w:t xml:space="preserve"> </w:t>
      </w:r>
      <w:r>
        <w:rPr>
          <w:i/>
        </w:rPr>
        <w:t xml:space="preserve"> </w:t>
      </w:r>
      <w:r>
        <w:t xml:space="preserve">Unjust enrichment itself is not the cause of action. Rather, it is the ground of restitution which distinguishes between different causes of action within the law of unjust enrichment: </w:t>
      </w:r>
      <w:r w:rsidRPr="00884015">
        <w:rPr>
          <w:i/>
        </w:rPr>
        <w:t>Uren v</w:t>
      </w:r>
      <w:r w:rsidRPr="00884015">
        <w:t xml:space="preserve"> </w:t>
      </w:r>
      <w:r w:rsidRPr="00884015">
        <w:rPr>
          <w:i/>
          <w:iCs/>
        </w:rPr>
        <w:t xml:space="preserve">First National Home Finance Ltd </w:t>
      </w:r>
      <w:r>
        <w:t>[2005] EWHC 2529 (</w:t>
      </w:r>
      <w:proofErr w:type="spellStart"/>
      <w:r>
        <w:t>Ch</w:t>
      </w:r>
      <w:proofErr w:type="spellEnd"/>
      <w:r>
        <w:t>).</w:t>
      </w:r>
    </w:p>
    <w:p w:rsidR="00BE40B4" w:rsidRPr="002D78EB" w:rsidRDefault="00BE40B4" w:rsidP="0082184F">
      <w:pPr>
        <w:pStyle w:val="FootnoteText"/>
        <w:rPr>
          <w:rStyle w:val="FootnoteReference"/>
          <w:b/>
          <w:bCs/>
        </w:rPr>
      </w:pPr>
    </w:p>
  </w:footnote>
  <w:footnote w:id="44">
    <w:p w:rsidR="00BE40B4" w:rsidRDefault="00BE40B4">
      <w:pPr>
        <w:pStyle w:val="FootnoteText"/>
      </w:pPr>
      <w:r>
        <w:rPr>
          <w:rStyle w:val="FootnoteReference"/>
        </w:rPr>
        <w:footnoteRef/>
      </w:r>
      <w:r>
        <w:t xml:space="preserve"> [2013] UKSC 50, [2014] AC 938.</w:t>
      </w:r>
    </w:p>
    <w:p w:rsidR="00BE40B4" w:rsidRDefault="00BE40B4">
      <w:pPr>
        <w:pStyle w:val="FootnoteText"/>
      </w:pPr>
    </w:p>
  </w:footnote>
  <w:footnote w:id="45">
    <w:p w:rsidR="00BE40B4" w:rsidRDefault="00BE40B4" w:rsidP="00821EE5">
      <w:pPr>
        <w:pStyle w:val="FootnoteText"/>
      </w:pPr>
      <w:r>
        <w:rPr>
          <w:rStyle w:val="FootnoteReference"/>
        </w:rPr>
        <w:footnoteRef/>
      </w:r>
      <w:r w:rsidRPr="00D5318F">
        <w:rPr>
          <w:i/>
        </w:rPr>
        <w:t xml:space="preserve"> Ibid</w:t>
      </w:r>
      <w:r>
        <w:t>, [108].</w:t>
      </w:r>
    </w:p>
  </w:footnote>
  <w:footnote w:id="46">
    <w:p w:rsidR="00BE40B4" w:rsidRDefault="00BE40B4" w:rsidP="00821EE5">
      <w:pPr>
        <w:pStyle w:val="FootnoteText"/>
      </w:pPr>
    </w:p>
    <w:p w:rsidR="00BE40B4" w:rsidRDefault="00BE40B4" w:rsidP="00821EE5">
      <w:pPr>
        <w:pStyle w:val="FootnoteText"/>
      </w:pPr>
      <w:r>
        <w:rPr>
          <w:rStyle w:val="FootnoteReference"/>
        </w:rPr>
        <w:footnoteRef/>
      </w:r>
      <w:r>
        <w:t xml:space="preserve"> </w:t>
      </w:r>
      <w:r w:rsidRPr="00D5318F">
        <w:rPr>
          <w:i/>
        </w:rPr>
        <w:t>Ibid</w:t>
      </w:r>
      <w:r w:rsidRPr="00085250">
        <w:t>,</w:t>
      </w:r>
      <w:r>
        <w:t xml:space="preserve"> [17] (Lord Clarke).</w:t>
      </w:r>
    </w:p>
    <w:p w:rsidR="00BE40B4" w:rsidRDefault="00BE40B4" w:rsidP="00821EE5">
      <w:pPr>
        <w:pStyle w:val="FootnoteText"/>
      </w:pPr>
    </w:p>
  </w:footnote>
  <w:footnote w:id="47">
    <w:p w:rsidR="00BE40B4" w:rsidRDefault="00BE40B4" w:rsidP="00821EE5">
      <w:pPr>
        <w:pStyle w:val="FootnoteText"/>
      </w:pPr>
      <w:r>
        <w:rPr>
          <w:rStyle w:val="FootnoteReference"/>
        </w:rPr>
        <w:footnoteRef/>
      </w:r>
      <w:r w:rsidRPr="00D5318F">
        <w:rPr>
          <w:i/>
        </w:rPr>
        <w:t xml:space="preserve"> Ibid</w:t>
      </w:r>
      <w:r>
        <w:t>, [101].</w:t>
      </w:r>
    </w:p>
  </w:footnote>
  <w:footnote w:id="48">
    <w:p w:rsidR="00EF7ABE" w:rsidRDefault="00EF7ABE" w:rsidP="00821EE5">
      <w:pPr>
        <w:pStyle w:val="FootnoteText"/>
        <w:spacing w:line="480" w:lineRule="auto"/>
      </w:pPr>
    </w:p>
    <w:p w:rsidR="00BE40B4" w:rsidRDefault="00BE40B4" w:rsidP="00821EE5">
      <w:pPr>
        <w:pStyle w:val="FootnoteText"/>
        <w:spacing w:line="480" w:lineRule="auto"/>
      </w:pPr>
      <w:r>
        <w:rPr>
          <w:rStyle w:val="FootnoteReference"/>
        </w:rPr>
        <w:footnoteRef/>
      </w:r>
      <w:r>
        <w:t xml:space="preserve"> </w:t>
      </w:r>
      <w:r>
        <w:rPr>
          <w:i/>
        </w:rPr>
        <w:t xml:space="preserve">Ibid, </w:t>
      </w:r>
      <w:r>
        <w:t xml:space="preserve">[21] (Lord Clarke). </w:t>
      </w:r>
    </w:p>
  </w:footnote>
  <w:footnote w:id="49">
    <w:p w:rsidR="00BE40B4" w:rsidRPr="00821EE5" w:rsidRDefault="00BE40B4" w:rsidP="00821EE5">
      <w:pPr>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Fonts w:ascii="Times New Roman" w:hAnsi="Times New Roman" w:cs="Times New Roman"/>
          <w:sz w:val="20"/>
          <w:szCs w:val="20"/>
        </w:rPr>
        <w:t xml:space="preserve"> </w:t>
      </w:r>
      <w:r w:rsidRPr="002D78EB">
        <w:rPr>
          <w:rFonts w:ascii="Times New Roman" w:hAnsi="Times New Roman" w:cs="Times New Roman"/>
          <w:i/>
          <w:sz w:val="20"/>
          <w:szCs w:val="20"/>
        </w:rPr>
        <w:t>Re Berkeley Applegate (Investment Consultants) Ltd</w:t>
      </w:r>
      <w:r>
        <w:rPr>
          <w:rFonts w:ascii="Times New Roman" w:hAnsi="Times New Roman" w:cs="Times New Roman"/>
          <w:i/>
          <w:sz w:val="20"/>
          <w:szCs w:val="20"/>
        </w:rPr>
        <w:t xml:space="preserve"> </w:t>
      </w:r>
      <w:r>
        <w:rPr>
          <w:rFonts w:ascii="Times New Roman" w:hAnsi="Times New Roman" w:cs="Times New Roman"/>
          <w:sz w:val="20"/>
          <w:szCs w:val="20"/>
        </w:rPr>
        <w:t xml:space="preserve">[1989]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w:t>
      </w:r>
      <w:r w:rsidRPr="002D78EB">
        <w:rPr>
          <w:rFonts w:ascii="Times New Roman" w:hAnsi="Times New Roman" w:cs="Times New Roman"/>
          <w:sz w:val="20"/>
          <w:szCs w:val="20"/>
        </w:rPr>
        <w:t xml:space="preserve">32; </w:t>
      </w:r>
      <w:r w:rsidRPr="002D78EB">
        <w:rPr>
          <w:rFonts w:ascii="Times New Roman" w:hAnsi="Times New Roman" w:cs="Times New Roman"/>
          <w:i/>
          <w:sz w:val="20"/>
          <w:szCs w:val="20"/>
        </w:rPr>
        <w:t>Craven-Ellis v</w:t>
      </w:r>
      <w:r w:rsidRPr="002D78EB">
        <w:rPr>
          <w:rFonts w:ascii="Times New Roman" w:hAnsi="Times New Roman" w:cs="Times New Roman"/>
          <w:sz w:val="20"/>
          <w:szCs w:val="20"/>
        </w:rPr>
        <w:t xml:space="preserve"> </w:t>
      </w:r>
      <w:r w:rsidRPr="002D78EB">
        <w:rPr>
          <w:rFonts w:ascii="Times New Roman" w:hAnsi="Times New Roman" w:cs="Times New Roman"/>
          <w:i/>
          <w:sz w:val="20"/>
          <w:szCs w:val="20"/>
        </w:rPr>
        <w:t>Canons Ltd</w:t>
      </w:r>
      <w:r>
        <w:rPr>
          <w:rFonts w:ascii="Times New Roman" w:hAnsi="Times New Roman" w:cs="Times New Roman"/>
          <w:sz w:val="20"/>
          <w:szCs w:val="20"/>
        </w:rPr>
        <w:t xml:space="preserve"> [1936] 2 KB 4</w:t>
      </w:r>
      <w:r w:rsidRPr="002D78EB">
        <w:rPr>
          <w:rFonts w:ascii="Times New Roman" w:hAnsi="Times New Roman" w:cs="Times New Roman"/>
          <w:sz w:val="20"/>
          <w:szCs w:val="20"/>
        </w:rPr>
        <w:t>3.</w:t>
      </w:r>
    </w:p>
  </w:footnote>
  <w:footnote w:id="50">
    <w:p w:rsidR="00BE40B4" w:rsidRPr="00821EE5" w:rsidRDefault="00BE40B4" w:rsidP="00821EE5">
      <w:pPr>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Fonts w:ascii="Times New Roman" w:hAnsi="Times New Roman" w:cs="Times New Roman"/>
          <w:sz w:val="20"/>
          <w:szCs w:val="20"/>
        </w:rPr>
        <w:t xml:space="preserve"> </w:t>
      </w:r>
      <w:r w:rsidRPr="002D78EB">
        <w:rPr>
          <w:rFonts w:ascii="Times New Roman" w:hAnsi="Times New Roman" w:cs="Times New Roman"/>
          <w:i/>
          <w:sz w:val="20"/>
          <w:szCs w:val="20"/>
        </w:rPr>
        <w:t>Greenwood</w:t>
      </w:r>
      <w:r w:rsidRPr="002D78EB">
        <w:rPr>
          <w:rFonts w:ascii="Times New Roman" w:hAnsi="Times New Roman" w:cs="Times New Roman"/>
          <w:sz w:val="20"/>
          <w:szCs w:val="20"/>
        </w:rPr>
        <w:t xml:space="preserve"> </w:t>
      </w:r>
      <w:r w:rsidRPr="002D78EB">
        <w:rPr>
          <w:rFonts w:ascii="Times New Roman" w:hAnsi="Times New Roman" w:cs="Times New Roman"/>
          <w:i/>
          <w:sz w:val="20"/>
          <w:szCs w:val="20"/>
        </w:rPr>
        <w:t>v</w:t>
      </w:r>
      <w:r w:rsidRPr="002D78EB">
        <w:rPr>
          <w:rFonts w:ascii="Times New Roman" w:hAnsi="Times New Roman" w:cs="Times New Roman"/>
          <w:sz w:val="20"/>
          <w:szCs w:val="20"/>
        </w:rPr>
        <w:t xml:space="preserve"> </w:t>
      </w:r>
      <w:r w:rsidRPr="002D78EB">
        <w:rPr>
          <w:rFonts w:ascii="Times New Roman" w:hAnsi="Times New Roman" w:cs="Times New Roman"/>
          <w:i/>
          <w:sz w:val="20"/>
          <w:szCs w:val="20"/>
        </w:rPr>
        <w:t>Bennett</w:t>
      </w:r>
      <w:r w:rsidRPr="002D78EB">
        <w:rPr>
          <w:rFonts w:ascii="Times New Roman" w:hAnsi="Times New Roman" w:cs="Times New Roman"/>
          <w:sz w:val="20"/>
          <w:szCs w:val="20"/>
        </w:rPr>
        <w:t xml:space="preserve"> [1973] QB 195; </w:t>
      </w:r>
      <w:r w:rsidRPr="002D78EB">
        <w:rPr>
          <w:rFonts w:ascii="Times New Roman" w:hAnsi="Times New Roman" w:cs="Times New Roman"/>
          <w:i/>
          <w:sz w:val="20"/>
          <w:szCs w:val="20"/>
        </w:rPr>
        <w:t>Rover International Ltd</w:t>
      </w:r>
      <w:r w:rsidRPr="002D78EB">
        <w:rPr>
          <w:rFonts w:ascii="Times New Roman" w:hAnsi="Times New Roman" w:cs="Times New Roman"/>
          <w:sz w:val="20"/>
          <w:szCs w:val="20"/>
        </w:rPr>
        <w:t xml:space="preserve"> </w:t>
      </w:r>
      <w:r w:rsidRPr="002D78EB">
        <w:rPr>
          <w:rFonts w:ascii="Times New Roman" w:hAnsi="Times New Roman" w:cs="Times New Roman"/>
          <w:i/>
          <w:sz w:val="20"/>
          <w:szCs w:val="20"/>
        </w:rPr>
        <w:t>v</w:t>
      </w:r>
      <w:r w:rsidRPr="002D78EB">
        <w:rPr>
          <w:rFonts w:ascii="Times New Roman" w:hAnsi="Times New Roman" w:cs="Times New Roman"/>
          <w:sz w:val="20"/>
          <w:szCs w:val="20"/>
        </w:rPr>
        <w:t xml:space="preserve"> </w:t>
      </w:r>
      <w:r w:rsidRPr="002D78EB">
        <w:rPr>
          <w:rFonts w:ascii="Times New Roman" w:hAnsi="Times New Roman" w:cs="Times New Roman"/>
          <w:i/>
          <w:sz w:val="20"/>
          <w:szCs w:val="20"/>
        </w:rPr>
        <w:t>Cannon Film Sales Ltd (No 3)</w:t>
      </w:r>
      <w:r w:rsidRPr="002D78EB">
        <w:rPr>
          <w:rFonts w:ascii="Times New Roman" w:hAnsi="Times New Roman" w:cs="Times New Roman"/>
          <w:sz w:val="20"/>
          <w:szCs w:val="20"/>
        </w:rPr>
        <w:t xml:space="preserve"> [1989] 1 WLR 912.</w:t>
      </w:r>
    </w:p>
  </w:footnote>
  <w:footnote w:id="51">
    <w:p w:rsidR="00BE40B4" w:rsidRPr="002D78EB" w:rsidRDefault="00BE40B4" w:rsidP="0082184F">
      <w:pPr>
        <w:pStyle w:val="FootnoteText"/>
        <w:rPr>
          <w:lang w:val="en-GB"/>
        </w:rPr>
      </w:pPr>
      <w:r w:rsidRPr="002D78EB">
        <w:rPr>
          <w:rStyle w:val="FootnoteReference"/>
        </w:rPr>
        <w:footnoteRef/>
      </w:r>
      <w:r w:rsidRPr="002D78EB">
        <w:t xml:space="preserve"> See, for example, </w:t>
      </w:r>
      <w:r w:rsidRPr="002D78EB">
        <w:rPr>
          <w:i/>
        </w:rPr>
        <w:t xml:space="preserve">Rowe </w:t>
      </w:r>
      <w:r w:rsidRPr="002D78EB">
        <w:rPr>
          <w:i/>
          <w:iCs/>
        </w:rPr>
        <w:t>v</w:t>
      </w:r>
      <w:r w:rsidRPr="002D78EB">
        <w:t xml:space="preserve"> </w:t>
      </w:r>
      <w:r w:rsidRPr="002D78EB">
        <w:rPr>
          <w:i/>
        </w:rPr>
        <w:t xml:space="preserve">Vale of White Horse DC </w:t>
      </w:r>
      <w:r w:rsidRPr="002D78EB">
        <w:t xml:space="preserve">[2003] 1 Lloyd’s Rep. 418; </w:t>
      </w:r>
      <w:r w:rsidRPr="002D78EB">
        <w:rPr>
          <w:i/>
        </w:rPr>
        <w:t>MSM Consulting Ltd v United Republic of Tanzania</w:t>
      </w:r>
      <w:r w:rsidRPr="002D78EB">
        <w:t xml:space="preserve"> </w:t>
      </w:r>
      <w:r>
        <w:t>[2009] EWHC 121 (QB), [171].</w:t>
      </w:r>
    </w:p>
  </w:footnote>
  <w:footnote w:id="52">
    <w:p w:rsidR="00BE40B4" w:rsidRDefault="00BE40B4" w:rsidP="00821EE5">
      <w:pPr>
        <w:rPr>
          <w:rFonts w:ascii="Times New Roman" w:hAnsi="Times New Roman" w:cs="Times New Roman"/>
          <w:sz w:val="20"/>
          <w:szCs w:val="20"/>
        </w:rPr>
      </w:pPr>
    </w:p>
    <w:p w:rsidR="00BE40B4" w:rsidRPr="00821EE5" w:rsidRDefault="00BE40B4" w:rsidP="00821EE5">
      <w:pPr>
        <w:rPr>
          <w:rFonts w:ascii="Times New Roman" w:hAnsi="Times New Roman" w:cs="Times New Roman"/>
          <w:i/>
          <w:sz w:val="20"/>
          <w:szCs w:val="20"/>
        </w:rPr>
      </w:pPr>
      <w:r w:rsidRPr="002D78EB">
        <w:rPr>
          <w:rStyle w:val="FootnoteReference"/>
          <w:rFonts w:ascii="Times New Roman" w:hAnsi="Times New Roman" w:cs="Times New Roman"/>
          <w:sz w:val="20"/>
          <w:szCs w:val="20"/>
        </w:rPr>
        <w:footnoteRef/>
      </w:r>
      <w:r w:rsidRPr="002D78EB">
        <w:rPr>
          <w:rFonts w:ascii="Times New Roman" w:hAnsi="Times New Roman" w:cs="Times New Roman"/>
          <w:sz w:val="20"/>
          <w:szCs w:val="20"/>
        </w:rPr>
        <w:t xml:space="preserve"> </w:t>
      </w:r>
      <w:r w:rsidRPr="002D78EB">
        <w:rPr>
          <w:rFonts w:ascii="Times New Roman" w:hAnsi="Times New Roman" w:cs="Times New Roman"/>
          <w:i/>
          <w:sz w:val="20"/>
          <w:szCs w:val="20"/>
        </w:rPr>
        <w:t>Chief Constable of the Greater Manchester Police v Wigan Athletic AFC Ltd</w:t>
      </w:r>
      <w:r w:rsidRPr="002D78EB">
        <w:rPr>
          <w:rFonts w:ascii="Times New Roman" w:hAnsi="Times New Roman" w:cs="Times New Roman"/>
          <w:sz w:val="20"/>
          <w:szCs w:val="20"/>
        </w:rPr>
        <w:t xml:space="preserve"> [2008] EWCA </w:t>
      </w:r>
      <w:proofErr w:type="spellStart"/>
      <w:r w:rsidRPr="002D78EB">
        <w:rPr>
          <w:rFonts w:ascii="Times New Roman" w:hAnsi="Times New Roman" w:cs="Times New Roman"/>
          <w:sz w:val="20"/>
          <w:szCs w:val="20"/>
        </w:rPr>
        <w:t>Civ</w:t>
      </w:r>
      <w:proofErr w:type="spellEnd"/>
      <w:r w:rsidRPr="002D78EB">
        <w:rPr>
          <w:rFonts w:ascii="Times New Roman" w:hAnsi="Times New Roman" w:cs="Times New Roman"/>
          <w:sz w:val="20"/>
          <w:szCs w:val="20"/>
        </w:rPr>
        <w:t xml:space="preserve"> 1449.</w:t>
      </w:r>
    </w:p>
  </w:footnote>
  <w:footnote w:id="53">
    <w:p w:rsidR="00BE40B4" w:rsidRPr="002D78EB" w:rsidRDefault="00BE40B4" w:rsidP="0082184F">
      <w:pPr>
        <w:pStyle w:val="FootnoteText"/>
      </w:pPr>
      <w:r w:rsidRPr="002D78EB">
        <w:rPr>
          <w:rStyle w:val="FootnoteReference"/>
        </w:rPr>
        <w:footnoteRef/>
      </w:r>
      <w:r w:rsidRPr="002D78EB">
        <w:t xml:space="preserve"> </w:t>
      </w:r>
      <w:r w:rsidRPr="002D78EB">
        <w:rPr>
          <w:i/>
        </w:rPr>
        <w:t xml:space="preserve">Rowe </w:t>
      </w:r>
      <w:r w:rsidRPr="002D78EB">
        <w:rPr>
          <w:i/>
          <w:iCs/>
        </w:rPr>
        <w:t>v</w:t>
      </w:r>
      <w:r w:rsidRPr="002D78EB">
        <w:t xml:space="preserve"> </w:t>
      </w:r>
      <w:r w:rsidRPr="002D78EB">
        <w:rPr>
          <w:i/>
        </w:rPr>
        <w:t xml:space="preserve">Vale of White Horse DC </w:t>
      </w:r>
      <w:r w:rsidRPr="002D78EB">
        <w:t>[2003] 1 Lloyd’s Rep. 418.</w:t>
      </w:r>
    </w:p>
    <w:p w:rsidR="00BE40B4" w:rsidRPr="002D78EB" w:rsidRDefault="00BE40B4" w:rsidP="0082184F">
      <w:pPr>
        <w:pStyle w:val="FootnoteText"/>
        <w:rPr>
          <w:lang w:val="en-GB"/>
        </w:rPr>
      </w:pPr>
    </w:p>
  </w:footnote>
  <w:footnote w:id="54">
    <w:p w:rsidR="00BE40B4" w:rsidRPr="002D78EB" w:rsidRDefault="00BE40B4" w:rsidP="0082184F">
      <w:pPr>
        <w:pStyle w:val="FootnoteText"/>
      </w:pPr>
      <w:r w:rsidRPr="002D78EB">
        <w:rPr>
          <w:rStyle w:val="FootnoteReference"/>
        </w:rPr>
        <w:footnoteRef/>
      </w:r>
      <w:r w:rsidRPr="002D78EB">
        <w:t xml:space="preserve"> (1</w:t>
      </w:r>
      <w:r>
        <w:t>831) 5 Car and P 58</w:t>
      </w:r>
      <w:r w:rsidRPr="002D78EB">
        <w:t xml:space="preserve">. See also </w:t>
      </w:r>
      <w:proofErr w:type="spellStart"/>
      <w:r w:rsidRPr="002D78EB">
        <w:rPr>
          <w:i/>
        </w:rPr>
        <w:t>Prickett</w:t>
      </w:r>
      <w:proofErr w:type="spellEnd"/>
      <w:r w:rsidRPr="002D78EB">
        <w:t xml:space="preserve"> </w:t>
      </w:r>
      <w:r w:rsidRPr="002D78EB">
        <w:rPr>
          <w:i/>
          <w:iCs/>
        </w:rPr>
        <w:t>v</w:t>
      </w:r>
      <w:r w:rsidRPr="002D78EB">
        <w:t xml:space="preserve"> </w:t>
      </w:r>
      <w:r w:rsidRPr="002D78EB">
        <w:rPr>
          <w:i/>
        </w:rPr>
        <w:t>Badger</w:t>
      </w:r>
      <w:r w:rsidRPr="002D78EB">
        <w:t xml:space="preserve"> </w:t>
      </w:r>
      <w:r>
        <w:t>(1856) 1 CB (NS) 296</w:t>
      </w:r>
      <w:r w:rsidRPr="002D78EB">
        <w:t>.</w:t>
      </w:r>
    </w:p>
  </w:footnote>
  <w:footnote w:id="55">
    <w:p w:rsidR="00BE40B4" w:rsidRPr="002D78EB" w:rsidRDefault="00BE40B4" w:rsidP="0082184F">
      <w:pPr>
        <w:pStyle w:val="FootnoteText"/>
      </w:pPr>
    </w:p>
    <w:p w:rsidR="00BE40B4" w:rsidRPr="002D78EB" w:rsidRDefault="00BE40B4" w:rsidP="0082184F">
      <w:pPr>
        <w:pStyle w:val="FootnoteText"/>
      </w:pPr>
      <w:r w:rsidRPr="002D78EB">
        <w:rPr>
          <w:rStyle w:val="FootnoteReference"/>
        </w:rPr>
        <w:footnoteRef/>
      </w:r>
      <w:r>
        <w:t xml:space="preserve">  See Tindal CJ in (1831) 5 Car</w:t>
      </w:r>
      <w:r w:rsidRPr="002D78EB">
        <w:t xml:space="preserve"> and P 58, 61.</w:t>
      </w:r>
    </w:p>
  </w:footnote>
  <w:footnote w:id="56">
    <w:p w:rsidR="00BE40B4" w:rsidRPr="002D78EB" w:rsidRDefault="00BE40B4" w:rsidP="0082184F">
      <w:pPr>
        <w:pStyle w:val="FootnoteText"/>
      </w:pPr>
    </w:p>
    <w:p w:rsidR="00BE40B4" w:rsidRPr="002D78EB" w:rsidRDefault="00BE40B4" w:rsidP="0082184F">
      <w:pPr>
        <w:pStyle w:val="FootnoteText"/>
      </w:pPr>
      <w:r w:rsidRPr="002D78EB">
        <w:rPr>
          <w:rStyle w:val="FootnoteReference"/>
        </w:rPr>
        <w:footnoteRef/>
      </w:r>
      <w:r w:rsidRPr="002D78EB">
        <w:t xml:space="preserve"> See </w:t>
      </w:r>
      <w:r>
        <w:rPr>
          <w:i/>
          <w:iCs/>
        </w:rPr>
        <w:t>CCC Films (London) Ltd</w:t>
      </w:r>
      <w:r w:rsidRPr="002D78EB">
        <w:rPr>
          <w:i/>
          <w:iCs/>
        </w:rPr>
        <w:t xml:space="preserve"> v Impact Quadrant Films </w:t>
      </w:r>
      <w:r>
        <w:rPr>
          <w:i/>
          <w:iCs/>
        </w:rPr>
        <w:t>Ltd</w:t>
      </w:r>
      <w:r w:rsidRPr="002D78EB">
        <w:rPr>
          <w:i/>
          <w:iCs/>
        </w:rPr>
        <w:t xml:space="preserve"> </w:t>
      </w:r>
      <w:r w:rsidRPr="002D78EB">
        <w:t>[1985] QB 16.</w:t>
      </w:r>
    </w:p>
  </w:footnote>
  <w:footnote w:id="57">
    <w:p w:rsidR="004721A5" w:rsidRDefault="004721A5">
      <w:pPr>
        <w:pStyle w:val="FootnoteText"/>
      </w:pPr>
    </w:p>
    <w:p w:rsidR="008B07EF" w:rsidRPr="008B07EF" w:rsidRDefault="008B07EF">
      <w:pPr>
        <w:pStyle w:val="FootnoteText"/>
        <w:rPr>
          <w:lang w:val="en-GB"/>
        </w:rPr>
      </w:pPr>
      <w:r>
        <w:rPr>
          <w:rStyle w:val="FootnoteReference"/>
        </w:rPr>
        <w:footnoteRef/>
      </w:r>
      <w:r>
        <w:t xml:space="preserve"> </w:t>
      </w:r>
      <w:r w:rsidR="004721A5">
        <w:rPr>
          <w:i/>
        </w:rPr>
        <w:t>MacDo</w:t>
      </w:r>
      <w:r>
        <w:rPr>
          <w:i/>
        </w:rPr>
        <w:t>n</w:t>
      </w:r>
      <w:r w:rsidR="004721A5">
        <w:rPr>
          <w:i/>
        </w:rPr>
        <w:t>a</w:t>
      </w:r>
      <w:r>
        <w:rPr>
          <w:i/>
        </w:rPr>
        <w:t>ld Dickens and Macklin v Costello</w:t>
      </w:r>
      <w:r>
        <w:t xml:space="preserve"> [2011] EWCA </w:t>
      </w:r>
      <w:proofErr w:type="spellStart"/>
      <w:r>
        <w:t>Civ</w:t>
      </w:r>
      <w:proofErr w:type="spellEnd"/>
      <w:r>
        <w:t xml:space="preserve"> 930, [2012] QB 244, [20] (</w:t>
      </w:r>
      <w:proofErr w:type="spellStart"/>
      <w:r>
        <w:t>Etherton</w:t>
      </w:r>
      <w:proofErr w:type="spellEnd"/>
      <w:r>
        <w:t xml:space="preserve"> LJ).</w:t>
      </w:r>
    </w:p>
    <w:p w:rsidR="008B07EF" w:rsidRPr="008B07EF" w:rsidRDefault="008B07EF">
      <w:pPr>
        <w:pStyle w:val="FootnoteText"/>
        <w:rPr>
          <w:lang w:val="en-GB"/>
        </w:rPr>
      </w:pPr>
    </w:p>
  </w:footnote>
  <w:footnote w:id="58">
    <w:p w:rsidR="00EF7ABE" w:rsidRPr="008B07EF" w:rsidRDefault="00EF7ABE" w:rsidP="008B07EF">
      <w:pPr>
        <w:rPr>
          <w:rFonts w:ascii="Times New Roman" w:hAnsi="Times New Roman" w:cs="Times New Roman"/>
          <w:sz w:val="20"/>
          <w:szCs w:val="20"/>
        </w:rPr>
      </w:pPr>
      <w:r w:rsidRPr="008B07EF">
        <w:rPr>
          <w:rStyle w:val="FootnoteReference"/>
          <w:rFonts w:ascii="Times New Roman" w:hAnsi="Times New Roman" w:cs="Times New Roman"/>
        </w:rPr>
        <w:footnoteRef/>
      </w:r>
      <w:r w:rsidRPr="008B07EF">
        <w:rPr>
          <w:rFonts w:ascii="Times New Roman" w:hAnsi="Times New Roman" w:cs="Times New Roman"/>
        </w:rPr>
        <w:t xml:space="preserve"> </w:t>
      </w:r>
      <w:r w:rsidRPr="00EF7ABE">
        <w:rPr>
          <w:rStyle w:val="brk"/>
          <w:rFonts w:ascii="Times New Roman" w:hAnsi="Times New Roman" w:cs="Times New Roman"/>
          <w:i/>
          <w:sz w:val="20"/>
          <w:szCs w:val="20"/>
        </w:rPr>
        <w:t xml:space="preserve">Investment Trust Companies v The Commissioners for Her Majesty’s Revenue and Customs </w:t>
      </w:r>
      <w:r w:rsidR="008B07EF">
        <w:rPr>
          <w:rFonts w:ascii="Times New Roman" w:hAnsi="Times New Roman" w:cs="Times New Roman"/>
          <w:sz w:val="20"/>
          <w:szCs w:val="20"/>
        </w:rPr>
        <w:t xml:space="preserve">[2015] EWCA </w:t>
      </w:r>
      <w:proofErr w:type="spellStart"/>
      <w:r w:rsidR="008B07EF">
        <w:rPr>
          <w:rFonts w:ascii="Times New Roman" w:hAnsi="Times New Roman" w:cs="Times New Roman"/>
          <w:sz w:val="20"/>
          <w:szCs w:val="20"/>
        </w:rPr>
        <w:t>Civ</w:t>
      </w:r>
      <w:proofErr w:type="spellEnd"/>
      <w:r w:rsidR="008B07EF">
        <w:rPr>
          <w:rFonts w:ascii="Times New Roman" w:hAnsi="Times New Roman" w:cs="Times New Roman"/>
          <w:sz w:val="20"/>
          <w:szCs w:val="20"/>
        </w:rPr>
        <w:t xml:space="preserve"> 1960, [2014] 1 WLR 854</w:t>
      </w:r>
      <w:r>
        <w:rPr>
          <w:rFonts w:ascii="Times New Roman" w:hAnsi="Times New Roman" w:cs="Times New Roman"/>
          <w:sz w:val="20"/>
          <w:szCs w:val="20"/>
        </w:rPr>
        <w:t xml:space="preserve">; </w:t>
      </w:r>
      <w:proofErr w:type="spellStart"/>
      <w:r w:rsidRPr="00EF7ABE">
        <w:rPr>
          <w:rFonts w:ascii="Times New Roman" w:hAnsi="Times New Roman" w:cs="Times New Roman"/>
          <w:i/>
          <w:sz w:val="20"/>
          <w:szCs w:val="20"/>
        </w:rPr>
        <w:t>Menelaou</w:t>
      </w:r>
      <w:proofErr w:type="spellEnd"/>
      <w:r w:rsidRPr="00EF7ABE">
        <w:rPr>
          <w:rFonts w:ascii="Times New Roman" w:hAnsi="Times New Roman" w:cs="Times New Roman"/>
          <w:i/>
          <w:sz w:val="20"/>
          <w:szCs w:val="20"/>
        </w:rPr>
        <w:t xml:space="preserve"> v Bank of Cyprus </w:t>
      </w:r>
      <w:proofErr w:type="spellStart"/>
      <w:r w:rsidRPr="00EF7ABE">
        <w:rPr>
          <w:rFonts w:ascii="Times New Roman" w:hAnsi="Times New Roman" w:cs="Times New Roman"/>
          <w:i/>
          <w:sz w:val="20"/>
          <w:szCs w:val="20"/>
        </w:rPr>
        <w:t>plc</w:t>
      </w:r>
      <w:proofErr w:type="spellEnd"/>
      <w:r w:rsidRPr="00EF7ABE">
        <w:rPr>
          <w:rFonts w:ascii="Times New Roman" w:hAnsi="Times New Roman" w:cs="Times New Roman"/>
          <w:sz w:val="20"/>
          <w:szCs w:val="20"/>
        </w:rPr>
        <w:t xml:space="preserve"> [2013] EWCA </w:t>
      </w:r>
      <w:proofErr w:type="spellStart"/>
      <w:r w:rsidRPr="00EF7ABE">
        <w:rPr>
          <w:rFonts w:ascii="Times New Roman" w:hAnsi="Times New Roman" w:cs="Times New Roman"/>
          <w:sz w:val="20"/>
          <w:szCs w:val="20"/>
        </w:rPr>
        <w:t>Civ</w:t>
      </w:r>
      <w:proofErr w:type="spellEnd"/>
      <w:r w:rsidRPr="00EF7ABE">
        <w:rPr>
          <w:rFonts w:ascii="Times New Roman" w:hAnsi="Times New Roman" w:cs="Times New Roman"/>
          <w:sz w:val="20"/>
          <w:szCs w:val="20"/>
        </w:rPr>
        <w:t xml:space="preserve"> 1960, [2014] 1 WLR 854</w:t>
      </w:r>
      <w:r w:rsidR="008B07EF">
        <w:rPr>
          <w:rFonts w:ascii="Times New Roman" w:hAnsi="Times New Roman" w:cs="Times New Roman"/>
          <w:sz w:val="20"/>
          <w:szCs w:val="20"/>
        </w:rPr>
        <w:t xml:space="preserve">; </w:t>
      </w:r>
      <w:proofErr w:type="spellStart"/>
      <w:r w:rsidRPr="00EF7ABE">
        <w:rPr>
          <w:rFonts w:ascii="Times New Roman" w:hAnsi="Times New Roman" w:cs="Times New Roman"/>
          <w:i/>
          <w:sz w:val="20"/>
          <w:szCs w:val="20"/>
        </w:rPr>
        <w:t>Relfo</w:t>
      </w:r>
      <w:proofErr w:type="spellEnd"/>
      <w:r w:rsidRPr="00EF7ABE">
        <w:rPr>
          <w:rFonts w:ascii="Times New Roman" w:hAnsi="Times New Roman" w:cs="Times New Roman"/>
          <w:i/>
          <w:sz w:val="20"/>
          <w:szCs w:val="20"/>
        </w:rPr>
        <w:t xml:space="preserve"> Ltd v </w:t>
      </w:r>
      <w:proofErr w:type="spellStart"/>
      <w:r w:rsidRPr="00EF7ABE">
        <w:rPr>
          <w:rFonts w:ascii="Times New Roman" w:hAnsi="Times New Roman" w:cs="Times New Roman"/>
          <w:i/>
          <w:sz w:val="20"/>
          <w:szCs w:val="20"/>
        </w:rPr>
        <w:t>Varsani</w:t>
      </w:r>
      <w:proofErr w:type="spellEnd"/>
      <w:r w:rsidRPr="00EF7ABE">
        <w:rPr>
          <w:rFonts w:ascii="Times New Roman" w:hAnsi="Times New Roman" w:cs="Times New Roman"/>
          <w:sz w:val="20"/>
          <w:szCs w:val="20"/>
        </w:rPr>
        <w:t xml:space="preserve"> [2014] EWCA </w:t>
      </w:r>
      <w:proofErr w:type="spellStart"/>
      <w:r w:rsidRPr="00EF7ABE">
        <w:rPr>
          <w:rFonts w:ascii="Times New Roman" w:hAnsi="Times New Roman" w:cs="Times New Roman"/>
          <w:sz w:val="20"/>
          <w:szCs w:val="20"/>
        </w:rPr>
        <w:t>Civ</w:t>
      </w:r>
      <w:proofErr w:type="spellEnd"/>
      <w:r w:rsidRPr="00EF7ABE">
        <w:rPr>
          <w:rFonts w:ascii="Times New Roman" w:hAnsi="Times New Roman" w:cs="Times New Roman"/>
          <w:sz w:val="20"/>
          <w:szCs w:val="20"/>
        </w:rPr>
        <w:t xml:space="preserve"> 360</w:t>
      </w:r>
      <w:r w:rsidR="008B07EF">
        <w:rPr>
          <w:rFonts w:ascii="Times New Roman" w:hAnsi="Times New Roman" w:cs="Times New Roman"/>
          <w:sz w:val="20"/>
          <w:szCs w:val="20"/>
        </w:rPr>
        <w:t>, [2015] 1 BCLC 14.</w:t>
      </w:r>
    </w:p>
  </w:footnote>
  <w:footnote w:id="59">
    <w:p w:rsidR="008B07EF" w:rsidRPr="008B07EF" w:rsidRDefault="008B07EF">
      <w:pPr>
        <w:pStyle w:val="FootnoteText"/>
        <w:rPr>
          <w:i/>
          <w:lang w:val="en-GB"/>
        </w:rPr>
      </w:pPr>
      <w:r>
        <w:rPr>
          <w:rStyle w:val="FootnoteReference"/>
        </w:rPr>
        <w:footnoteRef/>
      </w:r>
      <w:r>
        <w:t xml:space="preserve"> See, for example, </w:t>
      </w:r>
      <w:r>
        <w:rPr>
          <w:i/>
        </w:rPr>
        <w:t>Sempra Metals Ltd v IRC</w:t>
      </w:r>
      <w:r w:rsidRPr="008B07EF">
        <w:t>[2007] UKHL 34, [2008] 1 AC 561.</w:t>
      </w:r>
    </w:p>
    <w:p w:rsidR="008B07EF" w:rsidRPr="008B07EF" w:rsidRDefault="008B07EF">
      <w:pPr>
        <w:pStyle w:val="FootnoteText"/>
        <w:rPr>
          <w:lang w:val="en-GB"/>
        </w:rPr>
      </w:pPr>
    </w:p>
  </w:footnote>
  <w:footnote w:id="60">
    <w:p w:rsidR="008B07EF" w:rsidRDefault="008B07EF">
      <w:pPr>
        <w:pStyle w:val="FootnoteText"/>
        <w:rPr>
          <w:lang w:val="en-GB"/>
        </w:rPr>
      </w:pPr>
      <w:r>
        <w:rPr>
          <w:rStyle w:val="FootnoteReference"/>
        </w:rPr>
        <w:footnoteRef/>
      </w:r>
      <w:r>
        <w:t xml:space="preserve"> </w:t>
      </w:r>
      <w:proofErr w:type="spellStart"/>
      <w:r>
        <w:rPr>
          <w:i/>
          <w:lang w:val="en-GB"/>
        </w:rPr>
        <w:t>Relfo</w:t>
      </w:r>
      <w:proofErr w:type="spellEnd"/>
      <w:r>
        <w:rPr>
          <w:i/>
          <w:lang w:val="en-GB"/>
        </w:rPr>
        <w:t xml:space="preserve"> Ltd v </w:t>
      </w:r>
      <w:proofErr w:type="spellStart"/>
      <w:r>
        <w:rPr>
          <w:i/>
          <w:lang w:val="en-GB"/>
        </w:rPr>
        <w:t>Varsani</w:t>
      </w:r>
      <w:proofErr w:type="spellEnd"/>
      <w:r>
        <w:rPr>
          <w:lang w:val="en-GB"/>
        </w:rPr>
        <w:t xml:space="preserve"> [2014] EWCA </w:t>
      </w:r>
      <w:proofErr w:type="spellStart"/>
      <w:r>
        <w:rPr>
          <w:lang w:val="en-GB"/>
        </w:rPr>
        <w:t>Civ</w:t>
      </w:r>
      <w:proofErr w:type="spellEnd"/>
      <w:r>
        <w:rPr>
          <w:lang w:val="en-GB"/>
        </w:rPr>
        <w:t xml:space="preserve"> 360, [2015] 1 BCLC 14, [98] (Arden LJ).</w:t>
      </w:r>
    </w:p>
    <w:p w:rsidR="008B07EF" w:rsidRPr="008B07EF" w:rsidRDefault="008B07EF">
      <w:pPr>
        <w:pStyle w:val="FootnoteText"/>
        <w:rPr>
          <w:lang w:val="en-GB"/>
        </w:rPr>
      </w:pPr>
    </w:p>
  </w:footnote>
  <w:footnote w:id="61">
    <w:p w:rsidR="00D36E7D" w:rsidRDefault="00D36E7D">
      <w:pPr>
        <w:pStyle w:val="FootnoteText"/>
        <w:rPr>
          <w:lang w:val="en-GB"/>
        </w:rPr>
      </w:pPr>
      <w:r>
        <w:rPr>
          <w:rStyle w:val="FootnoteReference"/>
        </w:rPr>
        <w:footnoteRef/>
      </w:r>
      <w:r>
        <w:t xml:space="preserve"> [2013] UKSC 50, [2014] AC 938.</w:t>
      </w:r>
    </w:p>
    <w:p w:rsidR="00D36E7D" w:rsidRPr="00D36E7D" w:rsidRDefault="00D36E7D">
      <w:pPr>
        <w:pStyle w:val="FootnoteText"/>
        <w:rPr>
          <w:lang w:val="en-GB"/>
        </w:rPr>
      </w:pPr>
    </w:p>
  </w:footnote>
  <w:footnote w:id="62">
    <w:p w:rsidR="00BE40B4" w:rsidRPr="002D78EB" w:rsidRDefault="00BE40B4" w:rsidP="0082184F">
      <w:pPr>
        <w:pStyle w:val="FootnoteText"/>
        <w:rPr>
          <w:lang w:val="en-GB"/>
        </w:rPr>
      </w:pPr>
      <w:r w:rsidRPr="002D78EB">
        <w:rPr>
          <w:rStyle w:val="FootnoteReference"/>
        </w:rPr>
        <w:footnoteRef/>
      </w:r>
      <w:r w:rsidR="00D36E7D">
        <w:t xml:space="preserve"> [2008</w:t>
      </w:r>
      <w:r w:rsidRPr="002D78EB">
        <w:t>] UKHL 55, [2008] 1 WLR 1752.</w:t>
      </w:r>
    </w:p>
  </w:footnote>
  <w:footnote w:id="63">
    <w:p w:rsidR="00BE40B4" w:rsidRDefault="00BE40B4">
      <w:pPr>
        <w:pStyle w:val="FootnoteText"/>
      </w:pPr>
    </w:p>
    <w:p w:rsidR="00BE40B4" w:rsidRDefault="00BE40B4" w:rsidP="007A4E08">
      <w:pPr>
        <w:pStyle w:val="FootnoteText"/>
      </w:pPr>
      <w:r>
        <w:rPr>
          <w:rStyle w:val="FootnoteReference"/>
        </w:rPr>
        <w:footnoteRef/>
      </w:r>
      <w:r>
        <w:t xml:space="preserve"> [2013] UKSC 50, [2014] AC 938, [99].</w:t>
      </w:r>
    </w:p>
    <w:p w:rsidR="00BE40B4" w:rsidRDefault="00BE40B4">
      <w:pPr>
        <w:pStyle w:val="FootnoteText"/>
      </w:pPr>
    </w:p>
  </w:footnote>
  <w:footnote w:id="64">
    <w:p w:rsidR="00BE40B4" w:rsidRPr="002D78EB" w:rsidRDefault="00BE40B4" w:rsidP="0082184F">
      <w:pPr>
        <w:pStyle w:val="FootnoteText"/>
        <w:rPr>
          <w:lang w:val="en-GB"/>
        </w:rPr>
      </w:pPr>
      <w:r w:rsidRPr="002D78EB">
        <w:rPr>
          <w:rStyle w:val="FootnoteReference"/>
        </w:rPr>
        <w:footnoteRef/>
      </w:r>
      <w:r w:rsidRPr="002D78EB">
        <w:t xml:space="preserve"> [2009] EWCA </w:t>
      </w:r>
      <w:proofErr w:type="spellStart"/>
      <w:r w:rsidRPr="002D78EB">
        <w:t>Civ</w:t>
      </w:r>
      <w:proofErr w:type="spellEnd"/>
      <w:r w:rsidRPr="002D78EB">
        <w:t xml:space="preserve"> 1189.</w:t>
      </w:r>
    </w:p>
    <w:p w:rsidR="00BE40B4" w:rsidRPr="002D78EB" w:rsidRDefault="00BE40B4" w:rsidP="0082184F">
      <w:pPr>
        <w:pStyle w:val="FootnoteText"/>
        <w:rPr>
          <w:lang w:val="en-GB"/>
        </w:rPr>
      </w:pPr>
    </w:p>
  </w:footnote>
  <w:footnote w:id="65">
    <w:p w:rsidR="00BE40B4" w:rsidRPr="007A4E08" w:rsidRDefault="00BE40B4">
      <w:pPr>
        <w:pStyle w:val="FootnoteText"/>
        <w:rPr>
          <w:i/>
        </w:rPr>
      </w:pPr>
      <w:r>
        <w:rPr>
          <w:rStyle w:val="FootnoteReference"/>
        </w:rPr>
        <w:footnoteRef/>
      </w:r>
      <w:r>
        <w:t xml:space="preserve"> </w:t>
      </w:r>
      <w:r>
        <w:rPr>
          <w:i/>
        </w:rPr>
        <w:t xml:space="preserve">Pitt v Holt </w:t>
      </w:r>
      <w:r>
        <w:t xml:space="preserve">[2013] UKSC 26; </w:t>
      </w:r>
      <w:r w:rsidRPr="002D4CE3">
        <w:t xml:space="preserve">[2013] </w:t>
      </w:r>
      <w:r>
        <w:t>2 AC 108, [104].</w:t>
      </w:r>
    </w:p>
  </w:footnote>
  <w:footnote w:id="66">
    <w:p w:rsidR="006A6C43" w:rsidRDefault="006A6C43" w:rsidP="001519DC">
      <w:pPr>
        <w:widowControl w:val="0"/>
        <w:autoSpaceDE w:val="0"/>
        <w:autoSpaceDN w:val="0"/>
        <w:adjustRightInd w:val="0"/>
        <w:rPr>
          <w:rStyle w:val="brk"/>
          <w:rFonts w:ascii="Times New Roman" w:hAnsi="Times New Roman" w:cs="Times New Roman"/>
          <w:sz w:val="20"/>
          <w:szCs w:val="20"/>
        </w:rPr>
      </w:pPr>
    </w:p>
    <w:p w:rsidR="001519DC" w:rsidRPr="002D78EB" w:rsidRDefault="001519DC" w:rsidP="001519DC">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xml:space="preserve"> [1973] 1 QB 195, 203 (Cairns LJ). </w:t>
      </w:r>
    </w:p>
  </w:footnote>
  <w:footnote w:id="67">
    <w:p w:rsidR="001519DC" w:rsidRPr="002D78EB" w:rsidRDefault="001519DC" w:rsidP="001519DC">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w:t>
      </w:r>
      <w:r>
        <w:rPr>
          <w:rFonts w:ascii="Times New Roman" w:hAnsi="Times New Roman" w:cs="Times New Roman"/>
          <w:i/>
          <w:iCs/>
          <w:sz w:val="20"/>
          <w:szCs w:val="20"/>
        </w:rPr>
        <w:t>I</w:t>
      </w:r>
      <w:r w:rsidRPr="002D78EB">
        <w:rPr>
          <w:rFonts w:ascii="Times New Roman" w:hAnsi="Times New Roman" w:cs="Times New Roman"/>
          <w:i/>
          <w:iCs/>
          <w:sz w:val="20"/>
          <w:szCs w:val="20"/>
        </w:rPr>
        <w:t>bid</w:t>
      </w:r>
      <w:r>
        <w:rPr>
          <w:rFonts w:ascii="Times New Roman" w:hAnsi="Times New Roman" w:cs="Times New Roman"/>
          <w:i/>
          <w:iCs/>
          <w:sz w:val="20"/>
          <w:szCs w:val="20"/>
        </w:rPr>
        <w:t xml:space="preserve">, </w:t>
      </w:r>
      <w:r w:rsidRPr="002D78EB">
        <w:rPr>
          <w:rFonts w:ascii="Times New Roman" w:hAnsi="Times New Roman" w:cs="Times New Roman"/>
          <w:sz w:val="20"/>
          <w:szCs w:val="20"/>
        </w:rPr>
        <w:t>202.</w:t>
      </w:r>
    </w:p>
  </w:footnote>
  <w:footnote w:id="68">
    <w:p w:rsidR="00BE40B4" w:rsidRPr="002D78EB" w:rsidRDefault="00BE40B4" w:rsidP="0082184F">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Fonts w:ascii="Times New Roman" w:hAnsi="Times New Roman" w:cs="Times New Roman"/>
          <w:sz w:val="20"/>
          <w:szCs w:val="20"/>
        </w:rPr>
        <w:t xml:space="preserve"> </w:t>
      </w:r>
      <w:r w:rsidRPr="002D78EB">
        <w:rPr>
          <w:rFonts w:ascii="Times New Roman" w:hAnsi="Times New Roman" w:cs="Times New Roman"/>
          <w:i/>
          <w:iCs/>
          <w:sz w:val="20"/>
          <w:szCs w:val="20"/>
        </w:rPr>
        <w:t>Forman Co Proprietary Ltd v Ship ‘</w:t>
      </w:r>
      <w:proofErr w:type="spellStart"/>
      <w:r w:rsidRPr="002D78EB">
        <w:rPr>
          <w:rFonts w:ascii="Times New Roman" w:hAnsi="Times New Roman" w:cs="Times New Roman"/>
          <w:i/>
          <w:iCs/>
          <w:sz w:val="20"/>
          <w:szCs w:val="20"/>
        </w:rPr>
        <w:t>Liddelsdale</w:t>
      </w:r>
      <w:proofErr w:type="spellEnd"/>
      <w:r w:rsidRPr="002D78EB">
        <w:rPr>
          <w:rFonts w:ascii="Times New Roman" w:hAnsi="Times New Roman" w:cs="Times New Roman"/>
          <w:i/>
          <w:iCs/>
          <w:sz w:val="20"/>
          <w:szCs w:val="20"/>
        </w:rPr>
        <w:t>’</w:t>
      </w:r>
      <w:r>
        <w:rPr>
          <w:rFonts w:ascii="Times New Roman" w:hAnsi="Times New Roman" w:cs="Times New Roman"/>
          <w:sz w:val="20"/>
          <w:szCs w:val="20"/>
        </w:rPr>
        <w:t xml:space="preserve"> [1900] AC 190.</w:t>
      </w:r>
      <w:r w:rsidRPr="002D78EB">
        <w:rPr>
          <w:rFonts w:ascii="Times New Roman" w:hAnsi="Times New Roman" w:cs="Times New Roman"/>
          <w:sz w:val="20"/>
          <w:szCs w:val="20"/>
        </w:rPr>
        <w:t xml:space="preserve"> </w:t>
      </w:r>
    </w:p>
  </w:footnote>
  <w:footnote w:id="69">
    <w:p w:rsidR="00BE40B4" w:rsidRPr="00AA6596" w:rsidRDefault="00BE40B4" w:rsidP="00AA6596">
      <w:pPr>
        <w:autoSpaceDE w:val="0"/>
        <w:autoSpaceDN w:val="0"/>
        <w:adjustRightInd w:val="0"/>
        <w:spacing w:after="0"/>
        <w:rPr>
          <w:rFonts w:ascii="Times New Roman" w:hAnsi="Times New Roman" w:cs="Times New Roman"/>
          <w:i/>
          <w:iCs/>
          <w:sz w:val="20"/>
          <w:szCs w:val="20"/>
        </w:rPr>
      </w:pPr>
      <w:r w:rsidRPr="00AA6596">
        <w:rPr>
          <w:rStyle w:val="FootnoteReference"/>
          <w:rFonts w:ascii="Times New Roman" w:hAnsi="Times New Roman" w:cs="Times New Roman"/>
        </w:rPr>
        <w:footnoteRef/>
      </w:r>
      <w:r w:rsidRPr="00AA6596">
        <w:rPr>
          <w:rFonts w:ascii="Times New Roman" w:hAnsi="Times New Roman" w:cs="Times New Roman"/>
        </w:rPr>
        <w:t xml:space="preserve"> </w:t>
      </w:r>
      <w:r w:rsidRPr="00AA6596">
        <w:rPr>
          <w:rFonts w:ascii="Times New Roman" w:hAnsi="Times New Roman" w:cs="Times New Roman"/>
          <w:i/>
        </w:rPr>
        <w:t>Rowe</w:t>
      </w:r>
      <w:r w:rsidRPr="00AA6596">
        <w:rPr>
          <w:rFonts w:ascii="Times New Roman" w:hAnsi="Times New Roman" w:cs="Times New Roman"/>
        </w:rPr>
        <w:t xml:space="preserve"> </w:t>
      </w:r>
      <w:r w:rsidRPr="00AA6596">
        <w:rPr>
          <w:rFonts w:ascii="Times New Roman" w:hAnsi="Times New Roman" w:cs="Times New Roman"/>
          <w:i/>
          <w:iCs/>
        </w:rPr>
        <w:t xml:space="preserve">v </w:t>
      </w:r>
      <w:r w:rsidRPr="00AA6596">
        <w:rPr>
          <w:rFonts w:ascii="Times New Roman" w:hAnsi="Times New Roman" w:cs="Times New Roman"/>
          <w:i/>
        </w:rPr>
        <w:t xml:space="preserve">Vale of White Horse DC </w:t>
      </w:r>
      <w:r>
        <w:rPr>
          <w:rFonts w:ascii="Times New Roman" w:hAnsi="Times New Roman" w:cs="Times New Roman"/>
        </w:rPr>
        <w:t>[2003] 1 Lloyd’s Rep</w:t>
      </w:r>
      <w:r w:rsidRPr="00AA6596">
        <w:rPr>
          <w:rFonts w:ascii="Times New Roman" w:hAnsi="Times New Roman" w:cs="Times New Roman"/>
        </w:rPr>
        <w:t xml:space="preserve"> 418; </w:t>
      </w:r>
      <w:proofErr w:type="spellStart"/>
      <w:r w:rsidRPr="00AA6596">
        <w:rPr>
          <w:rFonts w:ascii="Times New Roman" w:hAnsi="Times New Roman" w:cs="Times New Roman"/>
          <w:i/>
          <w:iCs/>
          <w:sz w:val="20"/>
          <w:szCs w:val="20"/>
        </w:rPr>
        <w:t>Sharab</w:t>
      </w:r>
      <w:proofErr w:type="spellEnd"/>
      <w:r w:rsidRPr="00AA6596">
        <w:rPr>
          <w:rFonts w:ascii="Times New Roman" w:hAnsi="Times New Roman" w:cs="Times New Roman"/>
          <w:i/>
          <w:iCs/>
          <w:sz w:val="20"/>
          <w:szCs w:val="20"/>
        </w:rPr>
        <w:t xml:space="preserve"> v Prince Al-</w:t>
      </w:r>
      <w:proofErr w:type="spellStart"/>
      <w:r w:rsidRPr="00AA6596">
        <w:rPr>
          <w:rFonts w:ascii="Times New Roman" w:hAnsi="Times New Roman" w:cs="Times New Roman"/>
          <w:i/>
          <w:iCs/>
          <w:sz w:val="20"/>
          <w:szCs w:val="20"/>
        </w:rPr>
        <w:t>Waleed</w:t>
      </w:r>
      <w:proofErr w:type="spellEnd"/>
      <w:r w:rsidRPr="00AA6596">
        <w:rPr>
          <w:rFonts w:ascii="Times New Roman" w:hAnsi="Times New Roman" w:cs="Times New Roman"/>
          <w:i/>
          <w:iCs/>
          <w:sz w:val="20"/>
          <w:szCs w:val="20"/>
        </w:rPr>
        <w:t xml:space="preserve"> Bin </w:t>
      </w:r>
      <w:proofErr w:type="spellStart"/>
      <w:r w:rsidRPr="00AA6596">
        <w:rPr>
          <w:rFonts w:ascii="Times New Roman" w:hAnsi="Times New Roman" w:cs="Times New Roman"/>
          <w:i/>
          <w:iCs/>
          <w:sz w:val="20"/>
          <w:szCs w:val="20"/>
        </w:rPr>
        <w:t>Talal</w:t>
      </w:r>
      <w:proofErr w:type="spellEnd"/>
      <w:r w:rsidRPr="00AA6596">
        <w:rPr>
          <w:rFonts w:ascii="Times New Roman" w:hAnsi="Times New Roman" w:cs="Times New Roman"/>
          <w:i/>
          <w:iCs/>
          <w:sz w:val="20"/>
          <w:szCs w:val="20"/>
        </w:rPr>
        <w:t xml:space="preserve"> Bin Abdul-Aziz</w:t>
      </w:r>
      <w:r>
        <w:rPr>
          <w:rFonts w:ascii="Times New Roman" w:hAnsi="Times New Roman" w:cs="Times New Roman"/>
          <w:i/>
          <w:iCs/>
          <w:sz w:val="20"/>
          <w:szCs w:val="20"/>
        </w:rPr>
        <w:t xml:space="preserve"> </w:t>
      </w:r>
      <w:r w:rsidRPr="00AA6596">
        <w:rPr>
          <w:rFonts w:ascii="Times New Roman" w:hAnsi="Times New Roman" w:cs="Times New Roman"/>
          <w:i/>
          <w:iCs/>
          <w:sz w:val="20"/>
          <w:szCs w:val="20"/>
        </w:rPr>
        <w:t>Al-Saud</w:t>
      </w:r>
      <w:r>
        <w:rPr>
          <w:rFonts w:ascii="Times New Roman" w:hAnsi="Times New Roman" w:cs="Times New Roman"/>
          <w:i/>
          <w:iCs/>
          <w:sz w:val="20"/>
          <w:szCs w:val="20"/>
        </w:rPr>
        <w:t xml:space="preserve"> </w:t>
      </w:r>
      <w:r w:rsidRPr="00AA6596">
        <w:rPr>
          <w:rFonts w:ascii="Times New Roman" w:hAnsi="Times New Roman" w:cs="Times New Roman"/>
          <w:sz w:val="20"/>
          <w:szCs w:val="20"/>
        </w:rPr>
        <w:t>[2012] EWHC 1</w:t>
      </w:r>
      <w:r>
        <w:rPr>
          <w:rFonts w:ascii="Times New Roman" w:hAnsi="Times New Roman" w:cs="Times New Roman"/>
          <w:sz w:val="20"/>
          <w:szCs w:val="20"/>
        </w:rPr>
        <w:t>798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[2012] 2 CLC 612,</w:t>
      </w:r>
      <w:r w:rsidRPr="00AA6596">
        <w:rPr>
          <w:rFonts w:ascii="Times New Roman" w:hAnsi="Times New Roman" w:cs="Times New Roman"/>
          <w:sz w:val="20"/>
          <w:szCs w:val="20"/>
        </w:rPr>
        <w:t xml:space="preserve"> [68]</w:t>
      </w:r>
      <w:r>
        <w:rPr>
          <w:rFonts w:ascii="Times New Roman" w:hAnsi="Times New Roman" w:cs="Times New Roman"/>
          <w:sz w:val="20"/>
          <w:szCs w:val="20"/>
        </w:rPr>
        <w:t xml:space="preserve"> (Sir William </w:t>
      </w:r>
      <w:proofErr w:type="spellStart"/>
      <w:r>
        <w:rPr>
          <w:rFonts w:ascii="Times New Roman" w:hAnsi="Times New Roman" w:cs="Times New Roman"/>
          <w:sz w:val="20"/>
          <w:szCs w:val="20"/>
        </w:rPr>
        <w:t>Blackburne</w:t>
      </w:r>
      <w:proofErr w:type="spellEnd"/>
      <w:r>
        <w:rPr>
          <w:rFonts w:ascii="Times New Roman" w:hAnsi="Times New Roman" w:cs="Times New Roman"/>
          <w:sz w:val="20"/>
          <w:szCs w:val="20"/>
        </w:rPr>
        <w:t xml:space="preserve">); </w:t>
      </w:r>
      <w:r w:rsidRPr="00AA6596">
        <w:rPr>
          <w:rFonts w:ascii="Times New Roman" w:hAnsi="Times New Roman" w:cs="Times New Roman"/>
          <w:i/>
          <w:iCs/>
          <w:sz w:val="20"/>
          <w:szCs w:val="20"/>
        </w:rPr>
        <w:t>Professional Cost Management</w:t>
      </w:r>
      <w:r>
        <w:rPr>
          <w:rFonts w:ascii="Times New Roman" w:hAnsi="Times New Roman" w:cs="Times New Roman"/>
          <w:i/>
          <w:iCs/>
          <w:sz w:val="20"/>
          <w:szCs w:val="20"/>
        </w:rPr>
        <w:t xml:space="preserve"> </w:t>
      </w:r>
      <w:r w:rsidRPr="00AA6596">
        <w:rPr>
          <w:rFonts w:ascii="Times New Roman" w:hAnsi="Times New Roman" w:cs="Times New Roman"/>
          <w:i/>
          <w:iCs/>
          <w:sz w:val="20"/>
          <w:szCs w:val="20"/>
        </w:rPr>
        <w:t xml:space="preserve">Group Ltd v </w:t>
      </w:r>
      <w:proofErr w:type="spellStart"/>
      <w:r w:rsidRPr="00AA6596">
        <w:rPr>
          <w:rFonts w:ascii="Times New Roman" w:hAnsi="Times New Roman" w:cs="Times New Roman"/>
          <w:i/>
          <w:iCs/>
          <w:sz w:val="20"/>
          <w:szCs w:val="20"/>
        </w:rPr>
        <w:t>Easynet</w:t>
      </w:r>
      <w:proofErr w:type="spellEnd"/>
      <w:r w:rsidRPr="00AA6596">
        <w:rPr>
          <w:rFonts w:ascii="Times New Roman" w:hAnsi="Times New Roman" w:cs="Times New Roman"/>
          <w:i/>
          <w:iCs/>
          <w:sz w:val="20"/>
          <w:szCs w:val="20"/>
        </w:rPr>
        <w:t xml:space="preserve"> Ltd</w:t>
      </w:r>
      <w:r w:rsidRPr="00AA6596">
        <w:rPr>
          <w:rFonts w:ascii="Times New Roman" w:hAnsi="Times New Roman" w:cs="Times New Roman"/>
          <w:sz w:val="20"/>
          <w:szCs w:val="20"/>
        </w:rPr>
        <w:t xml:space="preserve"> Unreported, July 9, 2012 (QBD Di</w:t>
      </w:r>
      <w:r>
        <w:rPr>
          <w:rFonts w:ascii="Times New Roman" w:hAnsi="Times New Roman" w:cs="Times New Roman"/>
          <w:sz w:val="20"/>
          <w:szCs w:val="20"/>
        </w:rPr>
        <w:t xml:space="preserve">strict Registry, Manchester), </w:t>
      </w:r>
      <w:r w:rsidRPr="00AA6596">
        <w:rPr>
          <w:rFonts w:ascii="Times New Roman" w:hAnsi="Times New Roman" w:cs="Times New Roman"/>
          <w:sz w:val="20"/>
          <w:szCs w:val="20"/>
        </w:rPr>
        <w:t>[90]</w:t>
      </w:r>
      <w:r>
        <w:rPr>
          <w:rFonts w:ascii="Times New Roman" w:hAnsi="Times New Roman" w:cs="Times New Roman"/>
          <w:sz w:val="20"/>
          <w:szCs w:val="20"/>
        </w:rPr>
        <w:t xml:space="preserve"> (HHJ </w:t>
      </w:r>
      <w:proofErr w:type="spellStart"/>
      <w:r>
        <w:rPr>
          <w:rFonts w:ascii="Times New Roman" w:hAnsi="Times New Roman" w:cs="Times New Roman"/>
          <w:sz w:val="20"/>
          <w:szCs w:val="20"/>
        </w:rPr>
        <w:t>Raynor</w:t>
      </w:r>
      <w:proofErr w:type="spellEnd"/>
      <w:r>
        <w:rPr>
          <w:rFonts w:ascii="Times New Roman" w:hAnsi="Times New Roman" w:cs="Times New Roman"/>
          <w:sz w:val="20"/>
          <w:szCs w:val="20"/>
        </w:rPr>
        <w:t xml:space="preserve"> QC)</w:t>
      </w:r>
      <w:r w:rsidRPr="00AA6596">
        <w:rPr>
          <w:rFonts w:ascii="Times New Roman" w:hAnsi="Times New Roman" w:cs="Times New Roman"/>
          <w:sz w:val="20"/>
          <w:szCs w:val="20"/>
        </w:rPr>
        <w:t>.</w:t>
      </w:r>
    </w:p>
    <w:p w:rsidR="00BE40B4" w:rsidRPr="002D78EB" w:rsidRDefault="00BE40B4" w:rsidP="0082184F">
      <w:pPr>
        <w:pStyle w:val="FootnoteText"/>
        <w:rPr>
          <w:lang w:val="en-GB"/>
        </w:rPr>
      </w:pPr>
    </w:p>
  </w:footnote>
  <w:footnote w:id="70">
    <w:p w:rsidR="00BE40B4" w:rsidRPr="002D78EB" w:rsidRDefault="00BE40B4" w:rsidP="0082184F">
      <w:pPr>
        <w:pStyle w:val="FootnoteText"/>
        <w:rPr>
          <w:i/>
          <w:lang w:val="en-GB"/>
        </w:rPr>
      </w:pPr>
      <w:r w:rsidRPr="002D78EB">
        <w:rPr>
          <w:rStyle w:val="FootnoteReference"/>
        </w:rPr>
        <w:footnoteRef/>
      </w:r>
      <w:r w:rsidRPr="002D78EB">
        <w:t xml:space="preserve"> </w:t>
      </w:r>
      <w:r w:rsidRPr="002D78EB">
        <w:rPr>
          <w:lang w:val="en-GB"/>
        </w:rPr>
        <w:t xml:space="preserve">See </w:t>
      </w:r>
      <w:r w:rsidRPr="002D78EB">
        <w:rPr>
          <w:i/>
          <w:lang w:val="en-GB"/>
        </w:rPr>
        <w:t>Nicholson v Chapman</w:t>
      </w:r>
      <w:r w:rsidRPr="002D78EB">
        <w:t xml:space="preserve"> (1793) </w:t>
      </w:r>
      <w:r>
        <w:t xml:space="preserve">2 </w:t>
      </w:r>
      <w:proofErr w:type="spellStart"/>
      <w:r>
        <w:t>Hy</w:t>
      </w:r>
      <w:proofErr w:type="spellEnd"/>
      <w:r>
        <w:t xml:space="preserve"> </w:t>
      </w:r>
      <w:proofErr w:type="spellStart"/>
      <w:r>
        <w:t>Bl</w:t>
      </w:r>
      <w:proofErr w:type="spellEnd"/>
      <w:r w:rsidR="006A6C43">
        <w:t xml:space="preserve"> 254, 257 (Eyre CB).</w:t>
      </w:r>
    </w:p>
  </w:footnote>
  <w:footnote w:id="71">
    <w:p w:rsidR="00BE40B4" w:rsidRPr="006A6C43" w:rsidRDefault="00BE40B4" w:rsidP="0082184F">
      <w:pPr>
        <w:widowControl w:val="0"/>
        <w:autoSpaceDE w:val="0"/>
        <w:autoSpaceDN w:val="0"/>
        <w:adjustRightInd w:val="0"/>
        <w:rPr>
          <w:rFonts w:ascii="Times New Roman" w:hAnsi="Times New Roman" w:cs="Times New Roman"/>
          <w:sz w:val="20"/>
          <w:szCs w:val="20"/>
        </w:rPr>
      </w:pPr>
      <w:r w:rsidRPr="002D78EB">
        <w:rPr>
          <w:rStyle w:val="FootnoteReference"/>
          <w:rFonts w:ascii="Times New Roman" w:hAnsi="Times New Roman" w:cs="Times New Roman"/>
          <w:sz w:val="20"/>
          <w:szCs w:val="20"/>
        </w:rPr>
        <w:footnoteRef/>
      </w:r>
      <w:r w:rsidRPr="002D78EB">
        <w:rPr>
          <w:rStyle w:val="brk"/>
          <w:rFonts w:ascii="Times New Roman" w:hAnsi="Times New Roman" w:cs="Times New Roman"/>
          <w:sz w:val="20"/>
          <w:szCs w:val="20"/>
        </w:rPr>
        <w:t> </w:t>
      </w:r>
      <w:r w:rsidRPr="002D78EB">
        <w:rPr>
          <w:rFonts w:ascii="Times New Roman" w:hAnsi="Times New Roman" w:cs="Times New Roman"/>
          <w:vanish/>
          <w:sz w:val="20"/>
          <w:szCs w:val="20"/>
        </w:rPr>
        <w:t>&lt;i&gt;</w:t>
      </w:r>
      <w:r w:rsidRPr="002D78EB">
        <w:rPr>
          <w:rFonts w:ascii="Times New Roman" w:hAnsi="Times New Roman" w:cs="Times New Roman"/>
          <w:i/>
          <w:iCs/>
          <w:sz w:val="20"/>
          <w:szCs w:val="20"/>
        </w:rPr>
        <w:t>Guildford Borough Council v Hein</w:t>
      </w:r>
      <w:r w:rsidRPr="002D78EB">
        <w:rPr>
          <w:rFonts w:ascii="Times New Roman" w:hAnsi="Times New Roman" w:cs="Times New Roman"/>
          <w:i/>
          <w:iCs/>
          <w:vanish/>
          <w:sz w:val="20"/>
          <w:szCs w:val="20"/>
        </w:rPr>
        <w:t>&lt;r&gt;</w:t>
      </w:r>
      <w:r>
        <w:rPr>
          <w:rFonts w:ascii="Times New Roman" w:hAnsi="Times New Roman" w:cs="Times New Roman"/>
          <w:sz w:val="20"/>
          <w:szCs w:val="20"/>
        </w:rPr>
        <w:t xml:space="preserve"> [2005] EWCA </w:t>
      </w:r>
      <w:proofErr w:type="spellStart"/>
      <w:r>
        <w:rPr>
          <w:rFonts w:ascii="Times New Roman" w:hAnsi="Times New Roman" w:cs="Times New Roman"/>
          <w:sz w:val="20"/>
          <w:szCs w:val="20"/>
        </w:rPr>
        <w:t>Civ</w:t>
      </w:r>
      <w:proofErr w:type="spellEnd"/>
      <w:r>
        <w:rPr>
          <w:rFonts w:ascii="Times New Roman" w:hAnsi="Times New Roman" w:cs="Times New Roman"/>
          <w:sz w:val="20"/>
          <w:szCs w:val="20"/>
        </w:rPr>
        <w:t xml:space="preserve"> 979, </w:t>
      </w:r>
      <w:r w:rsidRPr="002D78EB">
        <w:rPr>
          <w:rFonts w:ascii="Times New Roman" w:hAnsi="Times New Roman" w:cs="Times New Roman"/>
          <w:sz w:val="20"/>
          <w:szCs w:val="20"/>
        </w:rPr>
        <w:t>[33] (C</w:t>
      </w:r>
      <w:r w:rsidR="006A6C43">
        <w:rPr>
          <w:rFonts w:ascii="Times New Roman" w:hAnsi="Times New Roman" w:cs="Times New Roman"/>
          <w:sz w:val="20"/>
          <w:szCs w:val="20"/>
        </w:rPr>
        <w:t xml:space="preserve">larke LJ), and [80] (Waller LJ); </w:t>
      </w:r>
      <w:r w:rsidR="006A6C43">
        <w:rPr>
          <w:rFonts w:ascii="Times New Roman" w:hAnsi="Times New Roman" w:cs="Times New Roman"/>
          <w:i/>
          <w:sz w:val="20"/>
          <w:szCs w:val="20"/>
        </w:rPr>
        <w:t xml:space="preserve">ENE Kos 1 Ltd v </w:t>
      </w:r>
      <w:proofErr w:type="spellStart"/>
      <w:r w:rsidR="006A6C43">
        <w:rPr>
          <w:rFonts w:ascii="Times New Roman" w:hAnsi="Times New Roman" w:cs="Times New Roman"/>
          <w:i/>
          <w:sz w:val="20"/>
          <w:szCs w:val="20"/>
        </w:rPr>
        <w:t>Petroleo</w:t>
      </w:r>
      <w:proofErr w:type="spellEnd"/>
      <w:r w:rsidR="006A6C43">
        <w:rPr>
          <w:rFonts w:ascii="Times New Roman" w:hAnsi="Times New Roman" w:cs="Times New Roman"/>
          <w:i/>
          <w:sz w:val="20"/>
          <w:szCs w:val="20"/>
        </w:rPr>
        <w:t xml:space="preserve"> </w:t>
      </w:r>
      <w:proofErr w:type="spellStart"/>
      <w:r w:rsidR="006A6C43">
        <w:rPr>
          <w:rFonts w:ascii="Times New Roman" w:hAnsi="Times New Roman" w:cs="Times New Roman"/>
          <w:i/>
          <w:sz w:val="20"/>
          <w:szCs w:val="20"/>
        </w:rPr>
        <w:t>Brasileiro</w:t>
      </w:r>
      <w:proofErr w:type="spellEnd"/>
      <w:r w:rsidR="006A6C43">
        <w:rPr>
          <w:rFonts w:ascii="Times New Roman" w:hAnsi="Times New Roman" w:cs="Times New Roman"/>
          <w:i/>
          <w:sz w:val="20"/>
          <w:szCs w:val="20"/>
        </w:rPr>
        <w:t xml:space="preserve"> SA (No 2)</w:t>
      </w:r>
      <w:r w:rsidR="006A6C43">
        <w:rPr>
          <w:rFonts w:ascii="Times New Roman" w:hAnsi="Times New Roman" w:cs="Times New Roman"/>
          <w:sz w:val="20"/>
          <w:szCs w:val="20"/>
        </w:rPr>
        <w:t xml:space="preserve"> [2012] UKSC 17, [2012] 2 AC 164.</w:t>
      </w:r>
    </w:p>
  </w:footnote>
  <w:footnote w:id="72">
    <w:p w:rsidR="00BE40B4" w:rsidRPr="00E46673" w:rsidRDefault="00BE40B4" w:rsidP="0082184F">
      <w:pPr>
        <w:pStyle w:val="FootnoteText"/>
        <w:rPr>
          <w:lang w:val="en-GB"/>
        </w:rPr>
      </w:pPr>
      <w:r w:rsidRPr="002D78EB">
        <w:rPr>
          <w:rStyle w:val="FootnoteReference"/>
        </w:rPr>
        <w:footnoteRef/>
      </w:r>
      <w:r w:rsidRPr="002D78EB">
        <w:t xml:space="preserve"> </w:t>
      </w:r>
      <w:r w:rsidRPr="002D78EB">
        <w:rPr>
          <w:i/>
        </w:rPr>
        <w:t xml:space="preserve">Yeoman’s Row v </w:t>
      </w:r>
      <w:proofErr w:type="spellStart"/>
      <w:r w:rsidRPr="002D78EB">
        <w:rPr>
          <w:i/>
        </w:rPr>
        <w:t>Cobbe</w:t>
      </w:r>
      <w:proofErr w:type="spellEnd"/>
      <w:r>
        <w:t xml:space="preserve"> [2008</w:t>
      </w:r>
      <w:r w:rsidRPr="002D78EB">
        <w:t>] UKHL 55, [2008</w:t>
      </w:r>
      <w:r>
        <w:t xml:space="preserve">] 1 WLR 1752, [42]. See </w:t>
      </w:r>
      <w:proofErr w:type="spellStart"/>
      <w:r>
        <w:rPr>
          <w:i/>
        </w:rPr>
        <w:t>Lissack</w:t>
      </w:r>
      <w:proofErr w:type="spellEnd"/>
      <w:r>
        <w:rPr>
          <w:i/>
        </w:rPr>
        <w:t xml:space="preserve"> v Manhattan Loft Corporation Ltd</w:t>
      </w:r>
      <w:r>
        <w:t xml:space="preserve"> [2013] EWHC 128 (</w:t>
      </w:r>
      <w:proofErr w:type="spellStart"/>
      <w:r>
        <w:t>Ch</w:t>
      </w:r>
      <w:proofErr w:type="spellEnd"/>
      <w:r>
        <w:t>).</w:t>
      </w:r>
    </w:p>
    <w:p w:rsidR="00BE40B4" w:rsidRPr="002D78EB" w:rsidRDefault="00BE40B4" w:rsidP="0082184F">
      <w:pPr>
        <w:pStyle w:val="FootnoteText"/>
        <w:rPr>
          <w:lang w:val="en-GB"/>
        </w:rPr>
      </w:pPr>
    </w:p>
  </w:footnote>
  <w:footnote w:id="73">
    <w:p w:rsidR="00BE40B4" w:rsidRDefault="00BE40B4">
      <w:pPr>
        <w:pStyle w:val="FootnoteText"/>
      </w:pPr>
      <w:r>
        <w:rPr>
          <w:rStyle w:val="FootnoteReference"/>
        </w:rPr>
        <w:footnoteRef/>
      </w:r>
      <w:r>
        <w:t xml:space="preserve"> </w:t>
      </w:r>
      <w:proofErr w:type="spellStart"/>
      <w:r>
        <w:rPr>
          <w:i/>
        </w:rPr>
        <w:t>Berezovksy</w:t>
      </w:r>
      <w:proofErr w:type="spellEnd"/>
      <w:r>
        <w:rPr>
          <w:i/>
        </w:rPr>
        <w:t xml:space="preserve"> v </w:t>
      </w:r>
      <w:proofErr w:type="spellStart"/>
      <w:r>
        <w:rPr>
          <w:i/>
        </w:rPr>
        <w:t>Edmiston</w:t>
      </w:r>
      <w:proofErr w:type="spellEnd"/>
      <w:r>
        <w:rPr>
          <w:i/>
        </w:rPr>
        <w:t xml:space="preserve"> and Co Ltd</w:t>
      </w:r>
      <w:r>
        <w:t xml:space="preserve"> [2010] EWHC 1883 (</w:t>
      </w:r>
      <w:proofErr w:type="spellStart"/>
      <w:r>
        <w:t>Comm</w:t>
      </w:r>
      <w:proofErr w:type="spellEnd"/>
      <w:r>
        <w:t xml:space="preserve">), [70]. </w:t>
      </w:r>
    </w:p>
    <w:p w:rsidR="00BE40B4" w:rsidRDefault="00BE40B4">
      <w:pPr>
        <w:pStyle w:val="FootnoteText"/>
      </w:pPr>
    </w:p>
  </w:footnote>
  <w:footnote w:id="74">
    <w:p w:rsidR="00BE40B4" w:rsidRPr="00EF7ABE" w:rsidRDefault="00BE40B4">
      <w:pPr>
        <w:pStyle w:val="FootnoteText"/>
      </w:pPr>
      <w:r>
        <w:rPr>
          <w:rStyle w:val="FootnoteReference"/>
        </w:rPr>
        <w:footnoteRef/>
      </w:r>
      <w:r w:rsidR="00EF7ABE">
        <w:t xml:space="preserve"> [2011] EWCA </w:t>
      </w:r>
      <w:proofErr w:type="spellStart"/>
      <w:r w:rsidR="00EF7ABE">
        <w:t>Civ</w:t>
      </w:r>
      <w:proofErr w:type="spellEnd"/>
      <w:r w:rsidR="00EF7ABE">
        <w:t xml:space="preserve"> 930, [2012] QB 244. Se also </w:t>
      </w:r>
      <w:r w:rsidR="00EF7ABE">
        <w:rPr>
          <w:i/>
        </w:rPr>
        <w:t>Lumbers v W Cook Builders Pty Ltd (in liquidation)</w:t>
      </w:r>
      <w:r w:rsidR="00EF7ABE">
        <w:t xml:space="preserve"> [2008] HCA 27.</w:t>
      </w:r>
    </w:p>
  </w:footnote>
  <w:footnote w:id="75">
    <w:p w:rsidR="00815254" w:rsidRDefault="00815254">
      <w:pPr>
        <w:pStyle w:val="FootnoteText"/>
      </w:pPr>
    </w:p>
    <w:p w:rsidR="00815254" w:rsidRPr="00815254" w:rsidRDefault="00815254">
      <w:pPr>
        <w:pStyle w:val="FootnoteText"/>
        <w:rPr>
          <w:lang w:val="en-GB"/>
        </w:rPr>
      </w:pPr>
      <w:r>
        <w:rPr>
          <w:rStyle w:val="FootnoteReference"/>
        </w:rPr>
        <w:footnoteRef/>
      </w:r>
      <w:r>
        <w:t xml:space="preserve"> [2011] EWCA </w:t>
      </w:r>
      <w:proofErr w:type="spellStart"/>
      <w:r>
        <w:t>Civ</w:t>
      </w:r>
      <w:proofErr w:type="spellEnd"/>
      <w:r>
        <w:t xml:space="preserve"> 930, [2012] QB 244, [23].</w:t>
      </w:r>
    </w:p>
  </w:footnote>
  <w:footnote w:id="76">
    <w:p w:rsidR="006A6C43" w:rsidRDefault="006A6C43" w:rsidP="0082184F">
      <w:pPr>
        <w:pStyle w:val="FootnoteText"/>
      </w:pPr>
    </w:p>
    <w:p w:rsidR="00BE40B4" w:rsidRPr="002D78EB" w:rsidRDefault="00BE40B4" w:rsidP="0082184F">
      <w:pPr>
        <w:pStyle w:val="FootnoteText"/>
        <w:rPr>
          <w:lang w:val="en-GB"/>
        </w:rPr>
      </w:pPr>
      <w:r w:rsidRPr="002D78EB">
        <w:rPr>
          <w:rStyle w:val="FootnoteReference"/>
        </w:rPr>
        <w:footnoteRef/>
      </w:r>
      <w:r w:rsidRPr="002D78EB">
        <w:t xml:space="preserve"> </w:t>
      </w:r>
      <w:r w:rsidRPr="002D78EB">
        <w:rPr>
          <w:i/>
          <w:lang w:val="en-GB"/>
        </w:rPr>
        <w:t xml:space="preserve">Whittle Movers Ltd v Hollywood Express Ltd </w:t>
      </w:r>
      <w:r>
        <w:t xml:space="preserve">[2009] EWCA </w:t>
      </w:r>
      <w:proofErr w:type="spellStart"/>
      <w:r>
        <w:t>Civ</w:t>
      </w:r>
      <w:proofErr w:type="spellEnd"/>
      <w:r>
        <w:t xml:space="preserve"> 1189, </w:t>
      </w:r>
      <w:r w:rsidRPr="002D78EB">
        <w:t xml:space="preserve">[22]. </w:t>
      </w:r>
    </w:p>
  </w:footnote>
  <w:footnote w:id="77">
    <w:p w:rsidR="006A6C43" w:rsidRDefault="006A6C43">
      <w:pPr>
        <w:pStyle w:val="FootnoteText"/>
      </w:pPr>
    </w:p>
    <w:p w:rsidR="006A6C43" w:rsidRPr="006A6C43" w:rsidRDefault="006A6C43">
      <w:pPr>
        <w:pStyle w:val="FootnoteText"/>
        <w:rPr>
          <w:lang w:val="en-GB"/>
        </w:rPr>
      </w:pPr>
      <w:r>
        <w:rPr>
          <w:rStyle w:val="FootnoteReference"/>
        </w:rPr>
        <w:footnoteRef/>
      </w:r>
      <w:r>
        <w:t xml:space="preserve">  </w:t>
      </w:r>
      <w:proofErr w:type="spellStart"/>
      <w:r>
        <w:rPr>
          <w:i/>
        </w:rPr>
        <w:t>Lipkin</w:t>
      </w:r>
      <w:proofErr w:type="spellEnd"/>
      <w:r>
        <w:rPr>
          <w:i/>
        </w:rPr>
        <w:t xml:space="preserve"> Gorman (a firm) v </w:t>
      </w:r>
      <w:proofErr w:type="spellStart"/>
      <w:r>
        <w:rPr>
          <w:i/>
        </w:rPr>
        <w:t>Karpnale</w:t>
      </w:r>
      <w:proofErr w:type="spellEnd"/>
      <w:r>
        <w:rPr>
          <w:i/>
        </w:rPr>
        <w:t xml:space="preserve"> Ltd</w:t>
      </w:r>
      <w:r>
        <w:t xml:space="preserve"> [1991] 2 AC 548.</w:t>
      </w:r>
    </w:p>
  </w:footnote>
  <w:footnote w:id="78">
    <w:p w:rsidR="00BE40B4" w:rsidRPr="002D78EB" w:rsidRDefault="00BE40B4" w:rsidP="00FA71E5">
      <w:pPr>
        <w:pStyle w:val="FootnoteText"/>
        <w:spacing w:line="276" w:lineRule="auto"/>
      </w:pPr>
    </w:p>
    <w:p w:rsidR="00BE40B4" w:rsidRPr="00FA71E5" w:rsidRDefault="00BE40B4" w:rsidP="00FA71E5">
      <w:pPr>
        <w:pStyle w:val="FootnoteText"/>
        <w:spacing w:line="276" w:lineRule="auto"/>
        <w:rPr>
          <w:i/>
        </w:rPr>
      </w:pPr>
      <w:r w:rsidRPr="002D78EB">
        <w:rPr>
          <w:rStyle w:val="FootnoteReference"/>
        </w:rPr>
        <w:footnoteRef/>
      </w:r>
      <w:r w:rsidRPr="002D78EB">
        <w:t xml:space="preserve"> [2000] CLC 324.</w:t>
      </w:r>
      <w:r>
        <w:t xml:space="preserve"> See also </w:t>
      </w:r>
      <w:r>
        <w:rPr>
          <w:i/>
        </w:rPr>
        <w:t xml:space="preserve">Killen v </w:t>
      </w:r>
      <w:proofErr w:type="spellStart"/>
      <w:r>
        <w:rPr>
          <w:i/>
        </w:rPr>
        <w:t>Horseworld</w:t>
      </w:r>
      <w:proofErr w:type="spellEnd"/>
      <w:r>
        <w:rPr>
          <w:i/>
        </w:rPr>
        <w:t xml:space="preserve"> Ltd</w:t>
      </w:r>
      <w:r>
        <w:t xml:space="preserve"> [2011] EWHC 1600 (QB) and </w:t>
      </w:r>
      <w:r>
        <w:rPr>
          <w:i/>
        </w:rPr>
        <w:t>Australian Financial Services and Leasing Pty Ltd v Hills Industries Ltd</w:t>
      </w:r>
      <w:r>
        <w:t xml:space="preserve"> [2014] HCA 14 (</w:t>
      </w:r>
      <w:proofErr w:type="spellStart"/>
      <w:r>
        <w:t>unconscionability</w:t>
      </w:r>
      <w:proofErr w:type="spellEnd"/>
      <w:r>
        <w:t xml:space="preserve"> rather than unjust enrichment underpins the </w:t>
      </w:r>
      <w:proofErr w:type="spellStart"/>
      <w:r>
        <w:t>restitutionary</w:t>
      </w:r>
      <w:proofErr w:type="spellEnd"/>
      <w:r>
        <w:t xml:space="preserve"> claim).</w:t>
      </w:r>
    </w:p>
  </w:footnote>
  <w:footnote w:id="79">
    <w:p w:rsidR="00BE40B4" w:rsidRPr="002D78EB" w:rsidRDefault="00BE40B4" w:rsidP="00200630">
      <w:pPr>
        <w:pStyle w:val="FootnoteText"/>
      </w:pPr>
    </w:p>
    <w:p w:rsidR="00BE40B4" w:rsidRPr="002D78EB" w:rsidRDefault="00BE40B4" w:rsidP="00200630">
      <w:pPr>
        <w:pStyle w:val="FootnoteText"/>
        <w:rPr>
          <w:lang w:val="en-GB"/>
        </w:rPr>
      </w:pPr>
      <w:r w:rsidRPr="002D78EB">
        <w:rPr>
          <w:rStyle w:val="FootnoteReference"/>
        </w:rPr>
        <w:footnoteRef/>
      </w:r>
      <w:r w:rsidRPr="002D78EB">
        <w:t xml:space="preserve"> </w:t>
      </w:r>
      <w:r w:rsidRPr="002D78EB">
        <w:rPr>
          <w:lang w:val="en-GB"/>
        </w:rPr>
        <w:t>[2009] EWHC 121 (QB).</w:t>
      </w:r>
    </w:p>
  </w:footnote>
  <w:footnote w:id="80">
    <w:p w:rsidR="00BE40B4" w:rsidRPr="002D78EB" w:rsidRDefault="00BE40B4" w:rsidP="00200630">
      <w:pPr>
        <w:pStyle w:val="FootnoteText"/>
      </w:pPr>
    </w:p>
    <w:p w:rsidR="00BE40B4" w:rsidRPr="002D78EB" w:rsidRDefault="00BE40B4" w:rsidP="00200630">
      <w:pPr>
        <w:pStyle w:val="FootnoteText"/>
        <w:rPr>
          <w:lang w:val="en-GB"/>
        </w:rPr>
      </w:pPr>
      <w:r w:rsidRPr="002D78EB">
        <w:rPr>
          <w:rStyle w:val="FootnoteReference"/>
        </w:rPr>
        <w:footnoteRef/>
      </w:r>
      <w:r>
        <w:t xml:space="preserve"> </w:t>
      </w:r>
      <w:r w:rsidRPr="00183FBB">
        <w:rPr>
          <w:i/>
        </w:rPr>
        <w:t>Ibid,</w:t>
      </w:r>
      <w:r>
        <w:t xml:space="preserve"> </w:t>
      </w:r>
      <w:r w:rsidRPr="002D78EB">
        <w:t>[171].</w:t>
      </w:r>
    </w:p>
  </w:footnote>
  <w:footnote w:id="81">
    <w:p w:rsidR="00BE40B4" w:rsidRPr="002D78EB" w:rsidRDefault="00BE40B4" w:rsidP="00200630">
      <w:pPr>
        <w:pStyle w:val="FootnoteText"/>
      </w:pPr>
    </w:p>
    <w:p w:rsidR="00BE40B4" w:rsidRDefault="00BE40B4" w:rsidP="00200630">
      <w:pPr>
        <w:pStyle w:val="FootnoteText"/>
      </w:pPr>
      <w:r w:rsidRPr="002D78EB">
        <w:rPr>
          <w:rStyle w:val="FootnoteReference"/>
        </w:rPr>
        <w:footnoteRef/>
      </w:r>
      <w:r>
        <w:t xml:space="preserve"> [2008</w:t>
      </w:r>
      <w:r w:rsidRPr="002D78EB">
        <w:t>]</w:t>
      </w:r>
      <w:r>
        <w:t xml:space="preserve"> UKHL 55, [2008] 1 WLR 1752, </w:t>
      </w:r>
      <w:r w:rsidRPr="002D78EB">
        <w:t>[3] and [42] (Lord Scott).</w:t>
      </w:r>
    </w:p>
    <w:p w:rsidR="00BE40B4" w:rsidRPr="002D78EB" w:rsidRDefault="00BE40B4" w:rsidP="00200630">
      <w:pPr>
        <w:pStyle w:val="FootnoteText"/>
        <w:rPr>
          <w:lang w:val="en-GB"/>
        </w:rPr>
      </w:pPr>
    </w:p>
  </w:footnote>
  <w:footnote w:id="82">
    <w:p w:rsidR="00BE40B4" w:rsidRPr="002D78EB" w:rsidRDefault="00BE40B4" w:rsidP="00200630">
      <w:pPr>
        <w:pStyle w:val="FootnoteText"/>
      </w:pPr>
    </w:p>
    <w:p w:rsidR="00BE40B4" w:rsidRPr="002D78EB" w:rsidRDefault="00BE40B4" w:rsidP="00200630">
      <w:pPr>
        <w:pStyle w:val="FootnoteText"/>
        <w:rPr>
          <w:lang w:val="en-GB"/>
        </w:rPr>
      </w:pPr>
      <w:r w:rsidRPr="002D78EB">
        <w:rPr>
          <w:rStyle w:val="FootnoteReference"/>
        </w:rPr>
        <w:footnoteRef/>
      </w:r>
      <w:r>
        <w:t xml:space="preserve"> [2008</w:t>
      </w:r>
      <w:r w:rsidRPr="002D78EB">
        <w:t>]</w:t>
      </w:r>
      <w:r>
        <w:t xml:space="preserve"> UKHL 55, [2008] 1 WLR 1752, </w:t>
      </w:r>
      <w:r w:rsidRPr="002D78EB">
        <w:t>[42].</w:t>
      </w:r>
    </w:p>
  </w:footnote>
  <w:footnote w:id="83">
    <w:p w:rsidR="00BE40B4" w:rsidRPr="002D78EB" w:rsidRDefault="00BE40B4" w:rsidP="00AB6352">
      <w:pPr>
        <w:pStyle w:val="FootnoteText"/>
        <w:rPr>
          <w:lang w:val="en-GB"/>
        </w:rPr>
      </w:pPr>
      <w:r w:rsidRPr="002D78EB">
        <w:rPr>
          <w:rStyle w:val="FootnoteReference"/>
        </w:rPr>
        <w:footnoteRef/>
      </w:r>
      <w:r w:rsidRPr="002D78EB">
        <w:t xml:space="preserve"> (1869) 20 LT 175. </w:t>
      </w:r>
    </w:p>
  </w:footnote>
  <w:footnote w:id="84">
    <w:p w:rsidR="00BE40B4" w:rsidRPr="002D78EB" w:rsidRDefault="00BE40B4" w:rsidP="00AB6352">
      <w:pPr>
        <w:pStyle w:val="FootnoteText"/>
      </w:pPr>
    </w:p>
    <w:p w:rsidR="00BE40B4" w:rsidRPr="002D78EB" w:rsidRDefault="00BE40B4" w:rsidP="00AB6352">
      <w:pPr>
        <w:pStyle w:val="FootnoteText"/>
        <w:rPr>
          <w:lang w:val="en-GB"/>
        </w:rPr>
      </w:pPr>
      <w:r w:rsidRPr="002D78EB">
        <w:rPr>
          <w:rStyle w:val="FootnoteReference"/>
        </w:rPr>
        <w:footnoteRef/>
      </w:r>
      <w:r w:rsidRPr="002D78EB">
        <w:t xml:space="preserve"> </w:t>
      </w:r>
      <w:r w:rsidRPr="00AB6352">
        <w:rPr>
          <w:i/>
          <w:lang w:val="en-GB"/>
        </w:rPr>
        <w:t>Ibid</w:t>
      </w:r>
      <w:r>
        <w:rPr>
          <w:lang w:val="en-GB"/>
        </w:rPr>
        <w:t xml:space="preserve">, </w:t>
      </w:r>
      <w:r w:rsidRPr="002D78EB">
        <w:rPr>
          <w:lang w:val="en-GB"/>
        </w:rPr>
        <w:t>177 (Kelly CB).</w:t>
      </w:r>
    </w:p>
  </w:footnote>
  <w:footnote w:id="85">
    <w:p w:rsidR="00BE40B4" w:rsidRPr="002D78EB" w:rsidRDefault="00BE40B4" w:rsidP="00AB6352">
      <w:pPr>
        <w:pStyle w:val="FootnoteText"/>
      </w:pPr>
    </w:p>
    <w:p w:rsidR="00BE40B4" w:rsidRPr="002D78EB" w:rsidRDefault="00BE40B4" w:rsidP="00AB6352">
      <w:pPr>
        <w:pStyle w:val="FootnoteText"/>
        <w:rPr>
          <w:lang w:val="en-GB"/>
        </w:rPr>
      </w:pPr>
      <w:r w:rsidRPr="002D78EB">
        <w:rPr>
          <w:rStyle w:val="FootnoteReference"/>
        </w:rPr>
        <w:footnoteRef/>
      </w:r>
      <w:r w:rsidRPr="002D78EB">
        <w:t xml:space="preserve"> [1937] 3 All ER 759.</w:t>
      </w:r>
    </w:p>
  </w:footnote>
  <w:footnote w:id="86">
    <w:p w:rsidR="00BE40B4" w:rsidRPr="002D78EB" w:rsidRDefault="00BE40B4" w:rsidP="00AB6352">
      <w:pPr>
        <w:pStyle w:val="FootnoteText"/>
      </w:pPr>
    </w:p>
    <w:p w:rsidR="00BE40B4" w:rsidRPr="002D78EB" w:rsidRDefault="00BE40B4" w:rsidP="00AB6352">
      <w:pPr>
        <w:pStyle w:val="FootnoteText"/>
        <w:rPr>
          <w:lang w:val="en-GB"/>
        </w:rPr>
      </w:pPr>
      <w:r w:rsidRPr="002D78EB">
        <w:rPr>
          <w:rStyle w:val="FootnoteReference"/>
        </w:rPr>
        <w:footnoteRef/>
      </w:r>
      <w:r w:rsidRPr="002D78EB">
        <w:t xml:space="preserve"> [1979] 1 WLR 783.</w:t>
      </w:r>
    </w:p>
  </w:footnote>
  <w:footnote w:id="87">
    <w:p w:rsidR="00BE40B4" w:rsidRPr="002D78EB" w:rsidRDefault="00BE40B4" w:rsidP="00541A81">
      <w:pPr>
        <w:pStyle w:val="FootnoteText"/>
      </w:pPr>
    </w:p>
    <w:p w:rsidR="00BE40B4" w:rsidRPr="00E46673" w:rsidRDefault="00BE40B4" w:rsidP="00541A81">
      <w:pPr>
        <w:pStyle w:val="FootnoteText"/>
      </w:pPr>
      <w:r w:rsidRPr="002D78EB">
        <w:rPr>
          <w:rStyle w:val="FootnoteReference"/>
        </w:rPr>
        <w:footnoteRef/>
      </w:r>
      <w:r>
        <w:t xml:space="preserve"> [2004] EWHC 2619 (</w:t>
      </w:r>
      <w:proofErr w:type="spellStart"/>
      <w:r>
        <w:t>Comm</w:t>
      </w:r>
      <w:proofErr w:type="spellEnd"/>
      <w:r>
        <w:t>), [</w:t>
      </w:r>
      <w:r w:rsidRPr="002D78EB">
        <w:t>26</w:t>
      </w:r>
      <w:r>
        <w:t>]</w:t>
      </w:r>
      <w:r w:rsidRPr="002D78EB">
        <w:t>.</w:t>
      </w:r>
      <w:r>
        <w:t xml:space="preserve"> See also </w:t>
      </w:r>
      <w:r w:rsidR="004721A5">
        <w:rPr>
          <w:i/>
        </w:rPr>
        <w:t>SSHD v Ray</w:t>
      </w:r>
      <w:r>
        <w:rPr>
          <w:i/>
        </w:rPr>
        <w:t>theon Systems Ltd</w:t>
      </w:r>
      <w:r>
        <w:t xml:space="preserve"> [2014] EWHC 4375 (TCC), [53]-[56] (</w:t>
      </w:r>
      <w:proofErr w:type="spellStart"/>
      <w:r>
        <w:t>Akenhead</w:t>
      </w:r>
      <w:proofErr w:type="spellEnd"/>
      <w:r>
        <w:t xml:space="preserve"> J).</w:t>
      </w:r>
    </w:p>
  </w:footnote>
  <w:footnote w:id="88">
    <w:p w:rsidR="00BE40B4" w:rsidRPr="002D78EB" w:rsidRDefault="00BE40B4" w:rsidP="00AB6352">
      <w:pPr>
        <w:pStyle w:val="FootnoteText"/>
      </w:pPr>
    </w:p>
    <w:p w:rsidR="00BE40B4" w:rsidRPr="002D78EB" w:rsidRDefault="00BE40B4" w:rsidP="00AB6352">
      <w:pPr>
        <w:pStyle w:val="FootnoteText"/>
        <w:rPr>
          <w:lang w:val="en-GB"/>
        </w:rPr>
      </w:pPr>
      <w:r w:rsidRPr="002D78EB">
        <w:rPr>
          <w:rStyle w:val="FootnoteReference"/>
        </w:rPr>
        <w:footnoteRef/>
      </w:r>
      <w:r w:rsidRPr="002D78EB">
        <w:t xml:space="preserve"> </w:t>
      </w:r>
      <w:r w:rsidRPr="002D78EB">
        <w:rPr>
          <w:lang w:val="en-GB"/>
        </w:rPr>
        <w:t>[2009] VSCA 141.</w:t>
      </w:r>
    </w:p>
    <w:p w:rsidR="00BE40B4" w:rsidRPr="002D78EB" w:rsidRDefault="00BE40B4" w:rsidP="00AB6352">
      <w:pPr>
        <w:pStyle w:val="FootnoteText"/>
        <w:rPr>
          <w:lang w:val="en-GB"/>
        </w:rPr>
      </w:pPr>
    </w:p>
  </w:footnote>
  <w:footnote w:id="89">
    <w:p w:rsidR="00BE40B4" w:rsidRPr="002D78EB" w:rsidRDefault="00BE40B4" w:rsidP="00541A81">
      <w:pPr>
        <w:pStyle w:val="FootnoteText"/>
        <w:rPr>
          <w:lang w:val="en-GB"/>
        </w:rPr>
      </w:pPr>
      <w:r w:rsidRPr="002D78EB">
        <w:rPr>
          <w:rStyle w:val="FootnoteReference"/>
        </w:rPr>
        <w:footnoteRef/>
      </w:r>
      <w:r>
        <w:t xml:space="preserve"> Ibid, </w:t>
      </w:r>
      <w:r w:rsidRPr="002D78EB">
        <w:t>[21].</w:t>
      </w:r>
    </w:p>
  </w:footnote>
  <w:footnote w:id="90">
    <w:p w:rsidR="00E53AE4" w:rsidRPr="002D78EB" w:rsidRDefault="00E53AE4" w:rsidP="00E53AE4">
      <w:pPr>
        <w:pStyle w:val="FootnoteText"/>
      </w:pPr>
    </w:p>
    <w:p w:rsidR="00E53AE4" w:rsidRPr="002D78EB" w:rsidRDefault="00E53AE4" w:rsidP="00E53AE4">
      <w:pPr>
        <w:pStyle w:val="FootnoteText"/>
        <w:rPr>
          <w:i/>
          <w:lang w:val="en-GB"/>
        </w:rPr>
      </w:pPr>
      <w:r w:rsidRPr="002D78EB">
        <w:rPr>
          <w:rStyle w:val="FootnoteReference"/>
        </w:rPr>
        <w:footnoteRef/>
      </w:r>
      <w:r w:rsidRPr="002D78EB">
        <w:t xml:space="preserve"> </w:t>
      </w:r>
      <w:r w:rsidRPr="002D78EB">
        <w:rPr>
          <w:i/>
        </w:rPr>
        <w:t>Whittle Movers Ltd v Hollywood Express Ltd</w:t>
      </w:r>
      <w:r>
        <w:t xml:space="preserve"> [2009] EWCA </w:t>
      </w:r>
      <w:proofErr w:type="spellStart"/>
      <w:r>
        <w:t>Civ</w:t>
      </w:r>
      <w:proofErr w:type="spellEnd"/>
      <w:r>
        <w:t xml:space="preserve"> 1189, [20] (Waller LJ); </w:t>
      </w:r>
      <w:r>
        <w:rPr>
          <w:i/>
        </w:rPr>
        <w:t xml:space="preserve">SSHD v </w:t>
      </w:r>
      <w:proofErr w:type="spellStart"/>
      <w:r>
        <w:rPr>
          <w:i/>
        </w:rPr>
        <w:t>Rayhtheon</w:t>
      </w:r>
      <w:proofErr w:type="spellEnd"/>
      <w:r>
        <w:rPr>
          <w:i/>
        </w:rPr>
        <w:t xml:space="preserve"> Systems Ltd</w:t>
      </w:r>
      <w:r>
        <w:t xml:space="preserve"> [2014] EWHC 4375 (TCC), [58] (</w:t>
      </w:r>
      <w:proofErr w:type="spellStart"/>
      <w:r>
        <w:t>Akenhead</w:t>
      </w:r>
      <w:proofErr w:type="spellEnd"/>
      <w:r>
        <w:t xml:space="preserve"> J).</w:t>
      </w:r>
    </w:p>
  </w:footnote>
  <w:footnote w:id="91">
    <w:p w:rsidR="00E53AE4" w:rsidRPr="002D78EB" w:rsidRDefault="00E53AE4" w:rsidP="00E53AE4">
      <w:pPr>
        <w:pStyle w:val="FootnoteText"/>
      </w:pPr>
    </w:p>
    <w:p w:rsidR="00E53AE4" w:rsidRPr="00AB6352" w:rsidRDefault="00E53AE4" w:rsidP="00E53AE4">
      <w:pPr>
        <w:pStyle w:val="FootnoteText"/>
        <w:spacing w:line="480" w:lineRule="auto"/>
      </w:pPr>
      <w:r w:rsidRPr="002D78EB">
        <w:rPr>
          <w:rStyle w:val="FootnoteReference"/>
        </w:rPr>
        <w:footnoteRef/>
      </w:r>
      <w:r w:rsidRPr="002D78EB">
        <w:t xml:space="preserve"> [2000] CLC 324.</w:t>
      </w:r>
    </w:p>
  </w:footnote>
  <w:footnote w:id="92">
    <w:p w:rsidR="00BE40B4" w:rsidRPr="00AA7B72" w:rsidRDefault="00BE40B4">
      <w:pPr>
        <w:pStyle w:val="FootnoteText"/>
      </w:pPr>
      <w:r>
        <w:rPr>
          <w:rStyle w:val="FootnoteReference"/>
        </w:rPr>
        <w:footnoteRef/>
      </w:r>
      <w:r>
        <w:t xml:space="preserve"> [2009] EWHC 121 (QB), [171]. See also </w:t>
      </w:r>
      <w:r w:rsidRPr="00524DE0">
        <w:rPr>
          <w:i/>
        </w:rPr>
        <w:t>Edmonds v Lawson</w:t>
      </w:r>
      <w:r w:rsidRPr="00524DE0">
        <w:t xml:space="preserve"> [2011] EWHC 2867 (TCC).</w:t>
      </w:r>
    </w:p>
  </w:footnote>
  <w:footnote w:id="93">
    <w:p w:rsidR="00BE40B4" w:rsidRPr="002D78EB" w:rsidRDefault="00BE40B4" w:rsidP="00765B13">
      <w:pPr>
        <w:pStyle w:val="FootnoteText"/>
      </w:pPr>
    </w:p>
    <w:p w:rsidR="00BE40B4" w:rsidRPr="002D78EB" w:rsidRDefault="00BE40B4" w:rsidP="00765B13">
      <w:pPr>
        <w:pStyle w:val="FootnoteText"/>
        <w:rPr>
          <w:lang w:val="en-GB"/>
        </w:rPr>
      </w:pPr>
      <w:r w:rsidRPr="002D78EB">
        <w:rPr>
          <w:rStyle w:val="FootnoteReference"/>
        </w:rPr>
        <w:footnoteRef/>
      </w:r>
      <w:r w:rsidRPr="002D78EB">
        <w:t xml:space="preserve"> </w:t>
      </w:r>
      <w:r w:rsidRPr="002D78EB">
        <w:rPr>
          <w:lang w:val="en-GB"/>
        </w:rPr>
        <w:t>[2009] VSCA 141.</w:t>
      </w:r>
    </w:p>
  </w:footnote>
  <w:footnote w:id="94">
    <w:p w:rsidR="00BE40B4" w:rsidRPr="002D78EB" w:rsidRDefault="00BE40B4" w:rsidP="00AB6352">
      <w:pPr>
        <w:pStyle w:val="FootnoteText"/>
      </w:pPr>
    </w:p>
    <w:p w:rsidR="00BE40B4" w:rsidRPr="002D78EB" w:rsidRDefault="00BE40B4" w:rsidP="00AB6352">
      <w:pPr>
        <w:pStyle w:val="FootnoteText"/>
        <w:rPr>
          <w:lang w:val="en-GB"/>
        </w:rPr>
      </w:pPr>
      <w:r w:rsidRPr="002D78EB">
        <w:rPr>
          <w:rStyle w:val="FootnoteReference"/>
        </w:rPr>
        <w:footnoteRef/>
      </w:r>
      <w:r>
        <w:t xml:space="preserve"> </w:t>
      </w:r>
      <w:r w:rsidRPr="00765B13">
        <w:rPr>
          <w:i/>
        </w:rPr>
        <w:t>Ibid</w:t>
      </w:r>
      <w:r>
        <w:t xml:space="preserve">, </w:t>
      </w:r>
      <w:r w:rsidRPr="002D78EB">
        <w:t>[35].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5" w:rsidRDefault="00472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5" w:rsidRDefault="00472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5" w:rsidRDefault="00472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4ECF"/>
    <w:multiLevelType w:val="singleLevel"/>
    <w:tmpl w:val="53A0A4A6"/>
    <w:lvl w:ilvl="0">
      <w:start w:val="2"/>
      <w:numFmt w:val="decimal"/>
      <w:lvlText w:val="(%1)"/>
      <w:lvlJc w:val="left"/>
      <w:pPr>
        <w:tabs>
          <w:tab w:val="num" w:pos="1080"/>
        </w:tabs>
        <w:ind w:left="1080" w:hanging="360"/>
      </w:pPr>
    </w:lvl>
  </w:abstractNum>
  <w:abstractNum w:abstractNumId="1">
    <w:nsid w:val="22CC2F02"/>
    <w:multiLevelType w:val="hybridMultilevel"/>
    <w:tmpl w:val="2CCAAFCA"/>
    <w:lvl w:ilvl="0" w:tplc="FFF85A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1A5A54"/>
    <w:multiLevelType w:val="hybridMultilevel"/>
    <w:tmpl w:val="DA00C87C"/>
    <w:lvl w:ilvl="0" w:tplc="D750AB5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3F457F36"/>
    <w:multiLevelType w:val="hybridMultilevel"/>
    <w:tmpl w:val="E2FED146"/>
    <w:lvl w:ilvl="0" w:tplc="6FC2E88C">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nsid w:val="4DEE7839"/>
    <w:multiLevelType w:val="singleLevel"/>
    <w:tmpl w:val="0B704C12"/>
    <w:lvl w:ilvl="0">
      <w:start w:val="1"/>
      <w:numFmt w:val="lowerLetter"/>
      <w:lvlText w:val="(%1)"/>
      <w:lvlJc w:val="left"/>
      <w:pPr>
        <w:tabs>
          <w:tab w:val="num" w:pos="1080"/>
        </w:tabs>
        <w:ind w:left="1080" w:hanging="360"/>
      </w:pPr>
    </w:lvl>
  </w:abstractNum>
  <w:abstractNum w:abstractNumId="5">
    <w:nsid w:val="5E150CB2"/>
    <w:multiLevelType w:val="hybridMultilevel"/>
    <w:tmpl w:val="EE143CCE"/>
    <w:lvl w:ilvl="0" w:tplc="39B2DE54">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39915A6"/>
    <w:multiLevelType w:val="hybridMultilevel"/>
    <w:tmpl w:val="CF16FD14"/>
    <w:lvl w:ilvl="0" w:tplc="6BE0DA74">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0"/>
    <w:lvlOverride w:ilvl="0">
      <w:startOverride w:val="2"/>
    </w:lvlOverride>
  </w:num>
  <w:num w:numId="6">
    <w:abstractNumId w:val="4"/>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0"/>
    <w:rsid w:val="0007487E"/>
    <w:rsid w:val="00096747"/>
    <w:rsid w:val="000F4E53"/>
    <w:rsid w:val="001036BE"/>
    <w:rsid w:val="001519DC"/>
    <w:rsid w:val="00183FBB"/>
    <w:rsid w:val="001D3FC2"/>
    <w:rsid w:val="001F20C3"/>
    <w:rsid w:val="00200630"/>
    <w:rsid w:val="00280131"/>
    <w:rsid w:val="002D78EB"/>
    <w:rsid w:val="002F5B49"/>
    <w:rsid w:val="00344F8F"/>
    <w:rsid w:val="003B2B45"/>
    <w:rsid w:val="003D28E3"/>
    <w:rsid w:val="00400CE2"/>
    <w:rsid w:val="004721A5"/>
    <w:rsid w:val="004A73C0"/>
    <w:rsid w:val="00524DE0"/>
    <w:rsid w:val="00541A81"/>
    <w:rsid w:val="00572ABC"/>
    <w:rsid w:val="00587063"/>
    <w:rsid w:val="00593ACB"/>
    <w:rsid w:val="005941A5"/>
    <w:rsid w:val="005D4702"/>
    <w:rsid w:val="00644880"/>
    <w:rsid w:val="0066378C"/>
    <w:rsid w:val="006A6C43"/>
    <w:rsid w:val="006E0F49"/>
    <w:rsid w:val="007202D1"/>
    <w:rsid w:val="00765B13"/>
    <w:rsid w:val="007A4E08"/>
    <w:rsid w:val="007F739D"/>
    <w:rsid w:val="00815254"/>
    <w:rsid w:val="0082184F"/>
    <w:rsid w:val="00821EE5"/>
    <w:rsid w:val="00884015"/>
    <w:rsid w:val="008B07EF"/>
    <w:rsid w:val="00936126"/>
    <w:rsid w:val="009B5D96"/>
    <w:rsid w:val="00A625C4"/>
    <w:rsid w:val="00AA6596"/>
    <w:rsid w:val="00AA7B72"/>
    <w:rsid w:val="00AB6352"/>
    <w:rsid w:val="00B545FE"/>
    <w:rsid w:val="00B861E7"/>
    <w:rsid w:val="00B93398"/>
    <w:rsid w:val="00BC4EE9"/>
    <w:rsid w:val="00BE40B4"/>
    <w:rsid w:val="00C236AF"/>
    <w:rsid w:val="00C50F45"/>
    <w:rsid w:val="00C83B9B"/>
    <w:rsid w:val="00CD3AAD"/>
    <w:rsid w:val="00D36E7D"/>
    <w:rsid w:val="00DB46CC"/>
    <w:rsid w:val="00DC626C"/>
    <w:rsid w:val="00DF283F"/>
    <w:rsid w:val="00E46673"/>
    <w:rsid w:val="00E53AE4"/>
    <w:rsid w:val="00E64A64"/>
    <w:rsid w:val="00EF7ABE"/>
    <w:rsid w:val="00F3643C"/>
    <w:rsid w:val="00F44001"/>
    <w:rsid w:val="00F6360A"/>
    <w:rsid w:val="00F87E51"/>
    <w:rsid w:val="00FA7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0063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00630"/>
    <w:rPr>
      <w:rFonts w:ascii="Times New Roman" w:eastAsia="Times New Roman" w:hAnsi="Times New Roman" w:cs="Times New Roman"/>
      <w:sz w:val="20"/>
      <w:szCs w:val="20"/>
      <w:lang w:val="en-US"/>
    </w:rPr>
  </w:style>
  <w:style w:type="character" w:styleId="FootnoteReference">
    <w:name w:val="footnote reference"/>
    <w:uiPriority w:val="99"/>
    <w:unhideWhenUsed/>
    <w:rsid w:val="00200630"/>
    <w:rPr>
      <w:vertAlign w:val="superscript"/>
    </w:rPr>
  </w:style>
  <w:style w:type="character" w:customStyle="1" w:styleId="brk">
    <w:name w:val="brk"/>
    <w:rsid w:val="00200630"/>
  </w:style>
  <w:style w:type="character" w:customStyle="1" w:styleId="ql">
    <w:name w:val="ql"/>
    <w:rsid w:val="00200630"/>
  </w:style>
  <w:style w:type="paragraph" w:customStyle="1" w:styleId="h8f">
    <w:name w:val="h8f"/>
    <w:rsid w:val="00200630"/>
    <w:pPr>
      <w:widowControl w:val="0"/>
      <w:autoSpaceDE w:val="0"/>
      <w:autoSpaceDN w:val="0"/>
      <w:adjustRightInd w:val="0"/>
      <w:spacing w:after="0" w:line="240" w:lineRule="auto"/>
    </w:pPr>
    <w:rPr>
      <w:rFonts w:ascii="Tms Rmn" w:eastAsia="Times New Roman" w:hAnsi="Tms Rmn" w:cs="Tms Rmn"/>
      <w:sz w:val="24"/>
      <w:szCs w:val="24"/>
    </w:rPr>
  </w:style>
  <w:style w:type="paragraph" w:styleId="BodyText">
    <w:name w:val="Body Text"/>
    <w:basedOn w:val="Normal"/>
    <w:link w:val="BodyTextChar"/>
    <w:semiHidden/>
    <w:unhideWhenUsed/>
    <w:rsid w:val="0020063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006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36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6AF"/>
    <w:rPr>
      <w:rFonts w:ascii="Lucida Grande" w:hAnsi="Lucida Grande" w:cs="Lucida Grande"/>
      <w:sz w:val="18"/>
      <w:szCs w:val="18"/>
    </w:rPr>
  </w:style>
  <w:style w:type="paragraph" w:customStyle="1" w:styleId="EXT">
    <w:name w:val="EXT"/>
    <w:basedOn w:val="Normal"/>
    <w:autoRedefine/>
    <w:rsid w:val="00815254"/>
    <w:pPr>
      <w:spacing w:before="60" w:after="60" w:line="240" w:lineRule="auto"/>
      <w:ind w:left="720" w:right="720"/>
      <w:jc w:val="both"/>
    </w:pPr>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472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1A5"/>
  </w:style>
  <w:style w:type="paragraph" w:styleId="Footer">
    <w:name w:val="footer"/>
    <w:basedOn w:val="Normal"/>
    <w:link w:val="FooterChar"/>
    <w:uiPriority w:val="99"/>
    <w:unhideWhenUsed/>
    <w:rsid w:val="00472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0063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00630"/>
    <w:rPr>
      <w:rFonts w:ascii="Times New Roman" w:eastAsia="Times New Roman" w:hAnsi="Times New Roman" w:cs="Times New Roman"/>
      <w:sz w:val="20"/>
      <w:szCs w:val="20"/>
      <w:lang w:val="en-US"/>
    </w:rPr>
  </w:style>
  <w:style w:type="character" w:styleId="FootnoteReference">
    <w:name w:val="footnote reference"/>
    <w:uiPriority w:val="99"/>
    <w:unhideWhenUsed/>
    <w:rsid w:val="00200630"/>
    <w:rPr>
      <w:vertAlign w:val="superscript"/>
    </w:rPr>
  </w:style>
  <w:style w:type="character" w:customStyle="1" w:styleId="brk">
    <w:name w:val="brk"/>
    <w:rsid w:val="00200630"/>
  </w:style>
  <w:style w:type="character" w:customStyle="1" w:styleId="ql">
    <w:name w:val="ql"/>
    <w:rsid w:val="00200630"/>
  </w:style>
  <w:style w:type="paragraph" w:customStyle="1" w:styleId="h8f">
    <w:name w:val="h8f"/>
    <w:rsid w:val="00200630"/>
    <w:pPr>
      <w:widowControl w:val="0"/>
      <w:autoSpaceDE w:val="0"/>
      <w:autoSpaceDN w:val="0"/>
      <w:adjustRightInd w:val="0"/>
      <w:spacing w:after="0" w:line="240" w:lineRule="auto"/>
    </w:pPr>
    <w:rPr>
      <w:rFonts w:ascii="Tms Rmn" w:eastAsia="Times New Roman" w:hAnsi="Tms Rmn" w:cs="Tms Rmn"/>
      <w:sz w:val="24"/>
      <w:szCs w:val="24"/>
    </w:rPr>
  </w:style>
  <w:style w:type="paragraph" w:styleId="BodyText">
    <w:name w:val="Body Text"/>
    <w:basedOn w:val="Normal"/>
    <w:link w:val="BodyTextChar"/>
    <w:semiHidden/>
    <w:unhideWhenUsed/>
    <w:rsid w:val="0020063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006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36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6AF"/>
    <w:rPr>
      <w:rFonts w:ascii="Lucida Grande" w:hAnsi="Lucida Grande" w:cs="Lucida Grande"/>
      <w:sz w:val="18"/>
      <w:szCs w:val="18"/>
    </w:rPr>
  </w:style>
  <w:style w:type="paragraph" w:customStyle="1" w:styleId="EXT">
    <w:name w:val="EXT"/>
    <w:basedOn w:val="Normal"/>
    <w:autoRedefine/>
    <w:rsid w:val="00815254"/>
    <w:pPr>
      <w:spacing w:before="60" w:after="60" w:line="240" w:lineRule="auto"/>
      <w:ind w:left="720" w:right="720"/>
      <w:jc w:val="both"/>
    </w:pPr>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472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1A5"/>
  </w:style>
  <w:style w:type="paragraph" w:styleId="Footer">
    <w:name w:val="footer"/>
    <w:basedOn w:val="Normal"/>
    <w:link w:val="FooterChar"/>
    <w:uiPriority w:val="99"/>
    <w:unhideWhenUsed/>
    <w:rsid w:val="00472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808">
      <w:bodyDiv w:val="1"/>
      <w:marLeft w:val="0"/>
      <w:marRight w:val="0"/>
      <w:marTop w:val="0"/>
      <w:marBottom w:val="0"/>
      <w:divBdr>
        <w:top w:val="none" w:sz="0" w:space="0" w:color="auto"/>
        <w:left w:val="none" w:sz="0" w:space="0" w:color="auto"/>
        <w:bottom w:val="none" w:sz="0" w:space="0" w:color="auto"/>
        <w:right w:val="none" w:sz="0" w:space="0" w:color="auto"/>
      </w:divBdr>
    </w:div>
    <w:div w:id="15149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0B4B-6602-4072-A56C-49EA6776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9177</Words>
  <Characters>52309</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Virgo</dc:creator>
  <cp:lastModifiedBy>Robert Stokell</cp:lastModifiedBy>
  <cp:revision>2</cp:revision>
  <dcterms:created xsi:type="dcterms:W3CDTF">2016-11-01T15:55:00Z</dcterms:created>
  <dcterms:modified xsi:type="dcterms:W3CDTF">2016-11-01T15:55:00Z</dcterms:modified>
</cp:coreProperties>
</file>